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GEG — Erfüllungserklärung</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Für ein zu errichtendes Gebäude hat der Bauherr oder Eigentümer der nach Landesrecht zuständigen Behörde durch eine Erfüllungserklärung nachzuweisen oder zu bescheinigen, dass die Anforderungen dieses Gesetzes eingehalten werden. Die Erfüllungserklärung ist nach Fertigstellung des Gebäudes vorzulegen, soweit das Landesrecht nicht einen anderen Zeitpunkt der Vorlage bestimmt. Das Landesrecht bestimmt, wer zur Ausstellung der Erfüllungserklärung berechtigt ist.</w:t>
      </w:r>
    </w:p>
    <w:p>
      <w:r>
        <w:t xml:space="preserve">(2) Werden bei einem bestehenden Gebäude Änderungen im Sinne des § 36 Satz 1 ausgeführt, hat der Eigentümer der nach Landesrecht zuständigen Behörde eine Erfüllungserklärung unter Zugrundelegung der energetischen Eigenschaften des geänderten Gebäudes abzugeben, wenn unter Anwendung des § 38 Absatz 1 und 2 für das gesamte Gebäude Berechnungen nach § 38 Absatz 3 durchgeführt werden. Die Pflicht nach Satz 1 besteht auch in den Fällen des § 39. Absatz 1 Satz 2 und 3 ist entsprechend anzuwenden.</w:t>
      </w:r>
    </w:p>
    <w:p>
      <w:r>
        <w:rPr>
          <w:color w:val="555555"/>
          <w:sz w:val="17"/>
        </w:rPr>
        <w:t xml:space="preserve">Zitiervorschlag: § 92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