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GEG — Geförderte Maßnahmen zur Nutzung erneuerbarer Energien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Gefördert werden können Maßnahmen im Zusammenhang mit der Nutzung erneuerbarer Energien zur Bereitstellung von Wärme oder Kälte, insbesondere die Errichtung oder Erweiterung von</w:t>
      </w:r>
    </w:p>
    <w:p>
      <w:pPr>
        <w:ind w:left="420"/>
      </w:pPr>
      <w:r>
        <w:t xml:space="preserve">1. solarthermischen Anlagen,</w:t>
      </w:r>
    </w:p>
    <w:p>
      <w:pPr>
        <w:ind w:left="420"/>
      </w:pPr>
      <w:r>
        <w:t xml:space="preserve">2. Anlagen zur Nutzung von Biomasse,</w:t>
      </w:r>
    </w:p>
    <w:p>
      <w:pPr>
        <w:ind w:left="420"/>
      </w:pPr>
      <w:r>
        <w:t xml:space="preserve">3. Anlagen zur Nutzung von Geothermie und Umweltwärme sowie</w:t>
      </w:r>
    </w:p>
    <w:p>
      <w:pPr>
        <w:ind w:left="420"/>
      </w:pPr>
      <w:r>
        <w:t xml:space="preserve">4. Wärmenetzen, Speichern und Übergabestationen für Wärmenutzer, wenn sie auch aus Anlagen nach den Nummern 1 bis 3 gespeist werden.</w:t>
      </w:r>
    </w:p>
    <w:p>
      <w:r>
        <w:t xml:space="preserve">(2) Vorbehaltlich weitergehender Anforderungen an die Förderung in den Regelungen nach § 89 Absatz 1 Satz 3 ist</w:t>
      </w:r>
    </w:p>
    <w:p>
      <w:pPr>
        <w:ind w:left="420"/>
      </w:pPr>
      <w:r>
        <w:t xml:space="preserve">1. eine solarthermische Anlage mit Flüssigkeiten als Wärmeträger nur förderfähig, wenn die darin enthaltenen Kollektoren oder das System mit dem europäischen Prüfzeichen „Solar Keymark“ zertifiziert sind oder ist,</w:t>
      </w:r>
    </w:p>
    <w:p>
      <w:pPr>
        <w:ind w:left="420"/>
      </w:pPr>
      <w:r>
        <w:t xml:space="preserve">2. eine Anlage zur Nutzung von fester Biomasse nur förderfähig, wenn der Umwandlungswirkungsgrad mindestens folgende Werte erreicht:</w:t>
      </w:r>
    </w:p>
    <w:p>
      <w:pPr>
        <w:ind w:left="780"/>
      </w:pPr>
      <w:r>
        <w:t xml:space="preserve">a) 89 Prozent bei einer Anlage zur Heizung oder Warmwasserbereitung, die der Erfüllung der Anforderungen nach § 45 oder einer Pflicht nach § 4 Absatz 4 oder § 9 dient,</w:t>
      </w:r>
    </w:p>
    <w:p>
      <w:pPr>
        <w:ind w:left="780"/>
      </w:pPr>
      <w:r>
        <w:t xml:space="preserve">b) 70 Prozent bei einer Anlage, die nicht der Heizung oder Warmwasserbereitung dient,</w:t>
      </w:r>
    </w:p>
    <w:p>
      <w:pPr>
        <w:ind w:left="420"/>
      </w:pPr>
      <w:r>
        <w:t xml:space="preserve">3. eine Wärmepumpe zur Nutzung von Geothermie, Umweltwärme oder Abwärme nur förderfähig, wenn sie die Anforderungen des Anhangs VII der Richtlinie (EU) 2018/2001 erfüllt.</w:t>
      </w:r>
    </w:p>
    <w:p>
      <w:r>
        <w:t xml:space="preserve">Die Zertifizierung von einer solarthermischen Anlage mit dem europäischen Prüfzeichen „Solar Keymark“ muss nach den anerkannten Regeln der Technik erfolgen. Der Umwandlungswirkungsgrad eines Biomassekessels ist der nach DIN EN 303-5: 2012-10 ermittelte Kesselwirkungsgrad, der Umwandlungswirkungsgrad eines Biomasseofens der nach DIN EN 14785: 2006-09 ermittelte feuerungstechnische Wirkungsgrad und in den übrigen Fällen des Satzes 1 Nummer 2 der nach den anerkannten Regeln der Technik berechnete Wirkungsgrad.</w:t>
      </w:r>
    </w:p>
    <w:p>
      <w:r>
        <w:rPr>
          <w:color w:val="555555"/>
          <w:sz w:val="17"/>
        </w:rPr>
        <w:t xml:space="preserve">Zitiervorschlag: § 90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