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GEG — Energieeffizienzklasse eines Wohngebäudes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(1) Im Energieausweis ist die Energieeffizienzklasse des Wohngebäudes entsprechend der Einteilung nach Absatz 2 in Verbindung mit Anlage 10 anzugeben.</w:t>
      </w:r>
    </w:p>
    <w:p>
      <w:r>
        <w:t xml:space="preserve">(2) Die Energieeffizienzklassen gemäß Anlage 10 ergeben sich unmittelbar aus dem Endenergieverbrauch oder Endenergiebedarf.</w:t>
      </w:r>
    </w:p>
    <w:p>
      <w:r>
        <w:rPr>
          <w:color w:val="555555"/>
          <w:sz w:val="17"/>
        </w:rPr>
        <w:t xml:space="preserve">Zitiervorschlag: § 86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