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GEG — Empfehlungen für die Verbesserung der Energieeffizienz</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Der Aussteller hat ein bestehendes Gebäude, für das er einen Energieausweis erstellt, vor Ort zu begehen oder sich für eine Beurteilung der energetischen Eigenschaften geeignete Bildaufnahmen des Gebäudes zur Verfügung stellen zu lassen und im Energieausweis Empfehlungen für Maßnahmen zur kosteneffizienten Verbesserung der energetischen Eigenschaften des Gebäudes (Energieeffizienz) in Form von kurz gefassten fachlichen Hinweisen zu geben (Modernisierungsempfehlungen), es sei denn, die fachliche Beurteilung hat ergeben, dass solche Maßnahmen nicht möglich sind. Die Modernisierungsempfehlungen beziehen sich auf Maßnahmen am gesamten Gebäude, an einzelnen Außenbauteilen sowie an Anlagen und Einrichtungen im Sinne dieses Gesetzes.</w:t>
      </w:r>
    </w:p>
    <w:p>
      <w:r>
        <w:t xml:space="preserve">(2) Die Bestimmungen des § 38 Absatz 4 über die vereinfachte Datenerhebung sind entsprechend anzuwenden. Sind Modernisierungsempfehlungen nicht möglich, hat der Aussteller dies im Energieausweis zu vermerken.</w:t>
      </w:r>
    </w:p>
    <w:p>
      <w:r>
        <w:rPr>
          <w:color w:val="555555"/>
          <w:sz w:val="17"/>
        </w:rPr>
        <w:t xml:space="preserve">Zitiervorschlag: § 84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