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GEG — Zeitpunkt der Inspektion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Die Inspektion ist erstmals im zehnten Jahr nach der Inbetriebnahme oder der Erneuerung wesentlicher Bauteile wie Wärmeübertrager, Ventilator oder Kältemaschine durchzuführen. Abweichend von Satz 1 ist eine Klimaanlage oder eine kombinierte Klima- und Lüftungsanlage, die am 1. Oktober 2018 mehr als zehn Jahre alt war und noch keiner Inspektion unterzogen wurde, spätestens bis zum 31. Dezember 2022 erstmals einer Inspektion zu unterziehen.</w:t>
      </w:r>
    </w:p>
    <w:p>
      <w:r>
        <w:t xml:space="preserve">(2) Nach der erstmaligen Inspektion ist die Anlage wiederkehrend spätestens alle zehn Jahre einer Inspektion zu unterziehen. Wenn an der Klimaanlage oder der kombinierten Klima- und Lüftungsanlage nach der erstmaligen Inspektion oder nach einer wiederkehrenden Inspektion keine Änderungen vorgenommen wurden oder in Bezug auf den Kühlbedarf des Gebäudes keine Änderungen eingetreten sind, muss die Prüfung der Anlagendimensionierung nicht wiederholt werden.</w:t>
      </w:r>
    </w:p>
    <w:p>
      <w:r>
        <w:rPr>
          <w:color w:val="555555"/>
          <w:sz w:val="17"/>
        </w:rPr>
        <w:t xml:space="preserve">Zitiervorschlag: § 76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