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GEG — Betreiberpflicht</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Der Betreiber von einer in ein Gebäude eingebauten Klimaanlage mit einer Nennleistung für den Kältebedarf von mehr als 12 Kilowatt oder einer kombinierten Klima- und Lüftungsanlage mit einer Nennleistung für den Kältebedarf von mehr als 12 Kilowatt hat innerhalb der in § 76 genannten Zeiträume energetische Inspektionen dieser Anlage durch eine berechtigte Person im Sinne des § 77 Absatz 1 durchführen zu lassen.</w:t>
      </w:r>
    </w:p>
    <w:p>
      <w:r>
        <w:t xml:space="preserve">(2) Der Betreiber kann die Pflicht nach Absatz 1 Satz 1 durch eine stichprobenweise Inspektion nach Maßgabe von § 75 Absatz 4 erfüllen, wenn er mehr als zehn Klimaanlagen mit einer Nennleistung für den Kältebedarf von mehr als 12 Kilowatt und bis zu 70 Kilowatt oder mehr als zehn kombinierte Klima- und Lüftungsanlagen mit einer Nennleistung für den Kältebedarf von mehr als 12 Kilowatt und bis zu 70 Kilowatt betreibt, die in vergleichbare Nichtwohngebäude eingebaut und nach Anlagentyp und Leistung gleichartig sind. Ein Nichtwohngebäude ist vergleichbar, wenn es nach demselben Plan errichtet wird, der für mehrere Nichtwohngebäude an verschiedenen Standorten erstellt wurde. Nach Anlagentyp und Leistung gleichartige Klimaanlagen oder kombinierte Klima- und Lüftungsanlagen sind Anlagen gleicher Bauart, gleicher Funktion und gleicher Kühlleistung je Quadratmeter Nettogrundfläche.</w:t>
      </w:r>
    </w:p>
    <w:p>
      <w:r>
        <w:t xml:space="preserve">(3) Im Falle eines Nichtwohngebäudes entfällt die Pflicht nach Absatz 1,</w:t>
      </w:r>
    </w:p>
    <w:p>
      <w:pPr>
        <w:ind w:left="420"/>
      </w:pPr>
      <w:r>
        <w:t xml:space="preserve">1. wenn das Gebäude mit einem System für die Gebäudeautomation und Gebäuderegelung nach § 56 Absatz 5 ausgestattet ist oder</w:t>
      </w:r>
    </w:p>
    <w:p>
      <w:pPr>
        <w:ind w:left="420"/>
      </w:pPr>
      <w:r>
        <w:t xml:space="preserve">2. sofern die Gesamtauswirkungen eines solchen Ansatzes gleichwertig sind, wenn die Klimaanlage oder kombinierte Klima- und Lüftungsanlage</w:t>
      </w:r>
    </w:p>
    <w:p>
      <w:pPr>
        <w:ind w:left="780"/>
      </w:pPr>
      <w:r>
        <w:t xml:space="preserve">a) unter eine vertragliche Vereinbarung über ein Niveau der Gesamtenergieeffizienz oder eine Energieeffizienzverbesserung fällt, insbesondere unter einen Energieleistungsvertrag nach § 3 Absatz 1 Nummer 8a, oder</w:t>
      </w:r>
    </w:p>
    <w:p>
      <w:pPr>
        <w:ind w:left="780"/>
      </w:pPr>
      <w:r>
        <w:t xml:space="preserve">b) von einem Versorgungsunternehmen oder einem Netzbetreiber betrieben wird und demnach systemseitigen Maßnahmen zur Überwachung der Effizienz unterliegt.</w:t>
      </w:r>
    </w:p>
    <w:p>
      <w:r>
        <w:t xml:space="preserve">(4) Die Pflicht nach Absatz 1 besteht nicht, wenn eine Klimaanlage oder eine kombinierte Klima- und Lüftungsanlage in ein Wohngebäude eingebaut ist, das ausgestattet ist mit</w:t>
      </w:r>
    </w:p>
    <w:p>
      <w:pPr>
        <w:ind w:left="420"/>
      </w:pPr>
      <w:r>
        <w:t xml:space="preserve">1. einer kontinuierlichen elektronischen Überwachungsfunktion, die die Effizienz der vorhandenen gebäudetechnischen Systeme misst und den Eigentümer oder Verwalter des Gebäudes darüber informiert, wenn sich die Effizienz erheblich verschlechtert hat und eine Wartung der vorhandenen gebäudetechnischen Systeme erforderlich ist, und</w:t>
      </w:r>
    </w:p>
    <w:p>
      <w:pPr>
        <w:ind w:left="420"/>
      </w:pPr>
      <w:r>
        <w:t xml:space="preserve">2. einer wirksamen Regelungsfunktion zur Gewährleistung einer optimalen Erzeugung, Verteilung, Speicherung oder Nutzung von Energie.</w:t>
      </w:r>
    </w:p>
    <w:p>
      <w:r>
        <w:rPr>
          <w:color w:val="555555"/>
          <w:sz w:val="17"/>
        </w:rPr>
        <w:t xml:space="preserve">Zitiervorschlag: § 74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