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71k GEG — Übergangsfristen bei einer Heizungsanlage, die sowohl Gas als auch Wasserstoff verbrennen kann; Festlegungskompetenz</w:t>
      </w:r>
    </w:p>
    <w:p>
      <w:r>
        <w:rPr>
          <w:color w:val="555555"/>
          <w:sz w:val="18"/>
        </w:rPr>
        <w:t xml:space="preserve">Gebäudemodernisierungsgesetz</w:t>
      </w:r>
    </w:p>
    <w:p>
      <w:r>
        <w:rPr>
          <w:color w:val="555555"/>
          <w:sz w:val="18"/>
        </w:rPr>
        <w:t xml:space="preserve">Außer Kraft: § 71k ist seit 07.08.2026 nicht mehr im GEG enthalten. Angezeigt wird die letzte bekannte Fassung, Stand 01.01.2024.</w:t>
      </w:r>
    </w:p>
    <w:p>
      <w:r>
        <w:t xml:space="preserve">(1) Bis zum Anschluss an ein Wasserstoffnetz kann eine Heizungsanlage, die Erdgas verbrennen kann und auf die Verbrennung von 100 Prozent Wasserstoff umrüstbar ist, zum Zweck der Inbetriebnahme eingebaut oder aufgestellt und ohne Einhaltung der Anforderungen nach § 71 Absatz 1 oder Absatz 9 zur Wärmeerzeugung betrieben werden, wenn</w:t>
      </w:r>
    </w:p>
    <w:p>
      <w:pPr>
        <w:ind w:left="420"/>
      </w:pPr>
      <w:r>
        <w:t xml:space="preserve">1. das Gebäude in einem Gebiet liegt, für das die nach Landesrecht zuständige Stelle unter Berücksichtigung eines Wärmeplans, der auf der Grundlage einer bundesgesetzlichen Regelung zur Wärmeplanung erstellt wurde, eine Entscheidung über die Ausweisung als Wasserstoffnetzausbaugebiet getroffen hat, und das spätestens bis zum Ablauf des 31. Dezember 2044 vollständig mit Wasserstoff versorgt werden soll und</w:t>
      </w:r>
    </w:p>
    <w:p>
      <w:pPr>
        <w:ind w:left="420"/>
      </w:pPr>
      <w:r>
        <w:t xml:space="preserve">2. der Betreiber des Gasverteilernetzes, an dessen Netz die Heizungsanlage angeschlossen ist, und die nach Landesrecht für die Wärmeplanung zuständige Stelle bis zum Ablauf des 30. Juni 2028 einen einvernehmlichen, mit Zwischenzielen versehenen, verbindlichen Fahrplan für die bis zum Ablauf des 31. Dezember 2044 zu vollendende Umstellung der Netzinfrastruktur auf die vollständige Versorgung der Anschlussnehmer mit Wasserstoff beschlossen und veröffentlicht haben und darin mindestens festgelegt haben,</w:t>
      </w:r>
    </w:p>
    <w:p>
      <w:pPr>
        <w:ind w:left="780"/>
      </w:pPr>
      <w:r>
        <w:t xml:space="preserve">a) in welchen technischen und zeitlichen Schritten die Umstellung der Infrastruktur und der Hochlauf auf Wasserstoff erfolgt; dabei muss der Fahrplan in Übereinstimmung mit den Netzentwicklungsplänen der Fernleitungsebene stehen oder der Betreiber des Gasverteilernetzes darlegen, wie vor Ort ausreichend Wasserstoff produziert und gespeichert werden kann,</w:t>
      </w:r>
    </w:p>
    <w:p>
      <w:pPr>
        <w:ind w:left="780"/>
      </w:pPr>
      <w:r>
        <w:t xml:space="preserve">b) wie die Umstellung auf die vollständige Versorgung der Anschlussnehmer auf Wasserstoff finanziert wird, insbesondere, wer die Kosten der Umrüstungen und des Austauschs der nicht umrüstbaren Verbrauchsgeräte tragen soll, und</w:t>
      </w:r>
    </w:p>
    <w:p>
      <w:pPr>
        <w:ind w:left="780"/>
      </w:pPr>
      <w:r>
        <w:t xml:space="preserve">c) mit welchen zeitlichen und räumlichen Zwischenschritten in den Jahren 2035 und 2040 die Umstellung von Netzteilen in Einklang mit den Klimaschutzzielen des Bundes unter Berücksichtigung der verbleibenden Treibhausgasemissionen erfolgt.</w:t>
      </w:r>
    </w:p>
    <w:p>
      <w:r>
        <w:t xml:space="preserve">(2) Der verbindliche Fahrplan nach Absatz 1 Nummer 2 muss einen Investitionsplan mit zwei- bis dreijährlichen Meilensteinen für die Umsetzung des Neubaus oder der Umstellung des Gasnetzes auf Wasserstoff enthalten.</w:t>
      </w:r>
    </w:p>
    <w:p>
      <w:r>
        <w:t xml:space="preserve">(3) Der Fahrplan nach Absatz 1 Nummer 2 wird nach Genehmigung durch die Bundesnetzagentur wirksam und veröffentlicht sowie von ihr regelmäßig alle drei Jahre überprüft. Die Bundesnetzagentur prüft dabei, ob die Anforderungen nach Absatz 1 Nummer 2 und Absatz 2 vorliegen und fristgerecht umgesetzt werden, insbesondere, ob</w:t>
      </w:r>
    </w:p>
    <w:p>
      <w:pPr>
        <w:ind w:left="420"/>
      </w:pPr>
      <w:r>
        <w:t xml:space="preserve">1. die Umstellung der Infrastruktur auf Wasserstoff im Rahmen der rechtlichen Vorgaben technisch und wirtschaftlich gesichert erscheint und die Versorgung des Wasserstoffverteilnetzes fristgemäß über die darüberliegenden Netzebenen sichergestellt ist oder</w:t>
      </w:r>
    </w:p>
    <w:p>
      <w:pPr>
        <w:ind w:left="420"/>
      </w:pPr>
      <w:r>
        <w:t xml:space="preserve">2. der Betreiber des Gasverteilernetzes eine Abkoppelung seines Netzes vom vorgelagerten Netz vorsieht und eine gesicherte Wasserstoffversorgung durch lokale Erzeugung nachgewiesen wird.</w:t>
      </w:r>
    </w:p>
    <w:p>
      <w:r>
        <w:t xml:space="preserve">Die Bundesnetzagentur bestimmt erstmals zum 31. Dezember 2024 nach § 29 Absatz 1 des Energiewirtschaftsgesetzes vom 7. Juli 2005 (BGBl. I S. 1970; 3621) in der jeweils geltenden Fassung durch Festlegung das Format des Fahrplans und die Art der dafür vorzulegenden Nachweise, wie vorzulegende Verträge und Finanzierungszusagen, die Art der Übermittlung und die Methodik zur Überprüfung der Anforderungen nach Absatz 1 Nummer 2.</w:t>
      </w:r>
    </w:p>
    <w:p>
      <w:r>
        <w:t xml:space="preserve">(4) Sofern die Bundesnetzagentur nach Überprüfung nach Absatz 3 gegenüber dem Betreiber eines Gasverteilernetzes und der nach Landesrecht für die Wärmeplanung zuständigen Stelle durch Bescheid feststellt, dass die Umsetzung des Fahrplans nicht die Anforderungen nach Absatz 1 Nummer 2, Absatz 2 oder Absatz 3 erfüllt oder die beabsichtigte Umstellung oder der Neubau eines Wasserstoffverteilnetzes nicht weiterverfolgt wird, muss jede Heizungsanlage, die spätestens bis zum Ablauf eines Jahres, nachdem der Bescheid über eine nicht den Anforderungen genügende oder eingestellte Umsetzung des Fahrplans der Bundesnetzagentur bestandskräftig und die Bestandskraft öffentlich bekanntgegeben worden ist, neu eingebaut oder aufgestellt worden ist, die Anforderungen nach § 71 Absatz 1 spätestens bis zum Ablauf einer Übergangsfrist von drei Jahren nach öffentlicher Bekanntgabe des Eintritts der Bestandskraft des Bescheids erfüllen. Der Betreiber des geplanten Wasserstoffverteilnetzes muss die Entscheidung der Bundesnetzagentur in Textform jedem Anschlussnehmer unverzüglich mitteilen.</w:t>
      </w:r>
    </w:p>
    <w:p>
      <w:r>
        <w:t xml:space="preserve">(5) Für die Wahrnehmung der Aufgaben der Bundesnetzagentur nach diesem Gesetz sind die Bestimmungen des Teils 8 des Energiewirtschaftsgesetzes entsprechend anzuwenden.</w:t>
      </w:r>
    </w:p>
    <w:p>
      <w:r>
        <w:t xml:space="preserve">(6) Der Gebäudeeigentümer hat im Fall des Absatzes 4 einen Anspruch auf Erstattung der daraus entstehenden Mehrkosten gegen den Betreiber des Gasverteilernetzes, an dessen Netz seine Heizungsanlage angeschlossen ist. Dies ist nicht anzuwenden, wenn der Betreiber des Gasverteilernetzes die Entstehung der Mehrkosten nicht zu vertreten hat.</w:t>
      </w:r>
    </w:p>
    <w:p>
      <w:r>
        <w:t xml:space="preserve">(7) Eine Heizungsanlage ist nach Absatz 1 auf die Verbrennung von 100 Prozent Wasserstoff umrüstbar, wenn die Heizungsanlage mit niederschwelligen Maßnahmen nach dem Austausch einzelner Bauteile mit 100 Prozent Wasserstoff betrieben werden kann. Der Nachweis der Umrüstbarkeit auf die Verbrennung von 100 Prozent Wasserstoff im Sinne des Satzes 1 kann durch eine Hersteller- oder Handwerkererklärung erbracht werden.</w:t>
      </w:r>
    </w:p>
    <w:p>
      <w:r>
        <w:rPr>
          <w:color w:val="555555"/>
          <w:sz w:val="17"/>
        </w:rPr>
        <w:t xml:space="preserve">Zitiervorschlag: § 71k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