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71i GEG — Allgemeine Übergangsfrist</w:t>
      </w:r>
    </w:p>
    <w:p>
      <w:r>
        <w:rPr>
          <w:color w:val="555555"/>
          <w:sz w:val="18"/>
        </w:rPr>
        <w:t xml:space="preserve">Gebäudemodernisierungsgesetz</w:t>
      </w:r>
    </w:p>
    <w:p>
      <w:r>
        <w:rPr>
          <w:color w:val="555555"/>
          <w:sz w:val="18"/>
        </w:rPr>
        <w:t xml:space="preserve">Außer Kraft: § 71i ist seit 07.08.2026 nicht mehr im GEG enthalten. Angezeigt wird die letzte bekannte Fassung, Stand 01.01.2024.</w:t>
      </w:r>
    </w:p>
    <w:p>
      <w:r>
        <w:t xml:space="preserve">Im Fall eines Heizungsaustauschs nach den in § 71 Absatz 8 Satz 1 bis 3 genannten Zeitpunkten kann höchstens für fünf Jahre übergangsweise eine alte Heizungsanlage ausgetauscht und eine andere Heizungsanlage zum Zweck der Inbetriebnahme eingebaut oder aufgestellt und betrieben werden, die nicht die Anforderungen des § 71 Absatz 1 erfüllt. Die Frist nach Satz 1 beginnt mit dem Tag, an dem erstmals Arbeiten zum Austausch der Heizungsanlage durchgeführt werden. Sofern innerhalb der in Satz 1 genannten Frist ein weiterer Heizungstausch stattfindet, ist für den Fristbeginn nach Satz 1 der Zeitpunkt des erstmaligen Austauschs der alten Heizungsanlage maßgeblich. Satz 1 ist nicht anzuwenden für eine Etagenheizung nach § 71l Absatz 1 und für eine Einzelraumfeuerungsanlage nach § 71l Absatz 7 sowie für eine Hallenheizung nach § 71m.</w:t>
      </w:r>
    </w:p>
    <w:p>
      <w:r>
        <w:rPr>
          <w:color w:val="555555"/>
          <w:sz w:val="17"/>
        </w:rPr>
        <w:t xml:space="preserve">Zitiervorschlag: § 71i GEG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https://recht.nulegal.eu/gesetze/GEG/71i</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