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70 GEG — Kälteverteilungs- und Kaltwasserleitungen sowie Armaturen</w:t>
      </w:r>
    </w:p>
    <w:p>
      <w:r>
        <w:rPr>
          <w:color w:val="555555"/>
          <w:sz w:val="18"/>
        </w:rPr>
        <w:t xml:space="preserve">Gebäudemodernisierungsgesetz</w:t>
      </w:r>
    </w:p>
    <w:p>
      <w:r>
        <w:rPr>
          <w:color w:val="555555"/>
          <w:sz w:val="18"/>
        </w:rPr>
        <w:t xml:space="preserve">Stand: 06.11.2020 (konsolidierte Textfassung, kein amtliches Inkrafttretensdatum)</w:t>
      </w:r>
    </w:p>
    <w:p>
      <w:r>
        <w:t xml:space="preserve">Werden Kälteverteilungs- und Kaltwasserleitungen sowie Armaturen, die zu Klimaanlagen oder sonstigen Anlagen der Raumlufttechnik im Sinne des § 65 Satz 1 gehören, erstmalig in ein Gebäude eingebaut oder werden sie ersetzt, hat der Bauherr oder der Eigentümer dafür Sorge zu tragen, dass die Wärmeaufnahme der eingebauten oder ersetzten Kälteverteilungs- und Kaltwasserleitungen sowie Armaturen nach Anlage 8 begrenzt wird.</w:t>
      </w:r>
    </w:p>
    <w:p>
      <w:r>
        <w:rPr>
          <w:color w:val="555555"/>
          <w:sz w:val="17"/>
        </w:rPr>
        <w:t xml:space="preserve">Zitiervorschlag: § 70 GEG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https://recht.nulegal.eu/gesetze/GEG/70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