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GEG — Regelung der Volumenströme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Beim Einbau einer Anlage nach § 65 Satz 1 in Gebäude und bei der Erneuerung eines Zentralgerätes oder eines Luftkanalsystems einer solcher Anlage muss diese Anlage mit einer Einrichtung zur selbsttätigen Regelung der Volumenströme in Abhängigkeit von den thermischen und stofflichen Lasten oder zur Einstellung der Volumenströme in Abhängigkeit von der Zeit ausgestattet werden, wenn der Zuluftvolumenstrom dieser Anlage höher ist als</w:t>
      </w:r>
    </w:p>
    <w:p>
      <w:pPr>
        <w:ind w:left="420"/>
      </w:pPr>
      <w:r>
        <w:t xml:space="preserve">1. neun Kubikmeter pro Stunde je Quadratmeter versorgter Nettogrundfläche des Nichtwohngebäudes oder</w:t>
      </w:r>
    </w:p>
    <w:p>
      <w:pPr>
        <w:ind w:left="420"/>
      </w:pPr>
      <w:r>
        <w:t xml:space="preserve">2. neun Kubikmeter pro Stunde je Quadratmeter versorgter Gebäudenutzfläche des Wohngebäudes.</w:t>
      </w:r>
    </w:p>
    <w:p>
      <w:r>
        <w:t xml:space="preserve">(2) Absatz 1 ist nicht anzuwenden, soweit in den versorgten Räumen auf Grund des Arbeits- und Gesundheitsschutzes erhöhte Zuluftvolumenströme erforderlich oder Laständerungen weder messtechnisch noch hinsichtlich des zeitlichen Verlaufs erfassbar sind.</w:t>
      </w:r>
    </w:p>
    <w:p>
      <w:r>
        <w:rPr>
          <w:color w:val="555555"/>
          <w:sz w:val="17"/>
        </w:rPr>
        <w:t xml:space="preserve">Zitiervorschlag: § 67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