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GEG — Regelung der Be- und Entfeuchtung</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Soweit eine Anlage nach § 65 Satz 1 dazu bestimmt ist, die Feuchte der Raumluft unmittelbar zu verändern, muss diese Anlage beim Einbau in ein Gebäude und bei Erneuerung des Zentralgerätes einer solcher Anlage mit einer selbsttätig wirkenden Regelungseinrichtung ausgestattet werden, bei der getrennte Sollwerte für die Be- und die Entfeuchtung eingestellt werden können und als Führungsgröße mindestens die direkt gemessene Zu- oder Abluftfeuchte dient.</w:t>
      </w:r>
    </w:p>
    <w:p>
      <w:r>
        <w:t xml:space="preserve">(2) Sind solche Einrichtungen in einer bestehenden Anlage nach § 65 Satz 1 nicht vorhanden, muss der Betreiber sie innerhalb von sechs Monaten nach Ablauf der Frist des § 76 Absatz 1 Satz 2 nachrüsten. Für sonstige raumlufttechnische Anlagen ist Satz 1 entsprechend anzuwenden.</w:t>
      </w:r>
    </w:p>
    <w:p>
      <w:r>
        <w:rPr>
          <w:color w:val="555555"/>
          <w:sz w:val="17"/>
        </w:rPr>
        <w:t xml:space="preserve">Zitiervorschlag: § 66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