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GEG — Begrenzung der elektrischen Leistung</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Beim Einbau einer Klimaanlage, die eine Nennleistung für den Kältebedarf von mehr als 12 Kilowatt hat, und einer raumlufttechnischen Anlage mit Zu- und Abluftfunktion, die für einen Volumenstrom der Zuluft von wenigstens 4 000 Kubikmetern je Stunde ausgelegt ist, in ein Gebäude sowie bei der Erneuerung von einem Zentralgerät oder Luftkanalsystem einer solchen Anlage muss diese Anlage so ausgeführt werden, dass bei Auslegungsvolumenstrom der Grenzwert für die spezifische Ventilatorleistung nach DIN EN 16798-3: 2017-11 Kategorie 4 nicht überschritten wird von</w:t>
      </w:r>
    </w:p>
    <w:p>
      <w:pPr>
        <w:ind w:left="420"/>
      </w:pPr>
      <w:r>
        <w:t xml:space="preserve">1. der auf das Fördervolumen bezogenen elektrischen Leistung der Einzelventilatoren oder</w:t>
      </w:r>
    </w:p>
    <w:p>
      <w:pPr>
        <w:ind w:left="420"/>
      </w:pPr>
      <w:r>
        <w:t xml:space="preserve">2. dem gewichteten Mittelwert der auf das jeweilige Fördervolumen bezogenen elektrischen Leistung aller Zu- und Abluftventilatoren.</w:t>
      </w:r>
    </w:p>
    <w:p>
      <w:r>
        <w:t xml:space="preserve">Der Grenzwert für die spezifische Ventilatorleistung der Kategorie 4 kann um Zuschläge nach DIN EN 16798: 2017-11 Abschnitt 9.5.2.2 für Gas- und Schwebstofffilter- sowie Wärmerückführungsbauteile der Klasse H2 nach DIN EN 13053: 2012-02 erweitert werden.</w:t>
      </w:r>
    </w:p>
    <w:p>
      <w:r>
        <w:rPr>
          <w:color w:val="555555"/>
          <w:sz w:val="17"/>
        </w:rPr>
        <w:t xml:space="preserve">Zitiervorschlag: § 65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