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GEG — Verringerung und Abschaltung der Wärmezufuhr sowie Ein- und Ausschaltung elektrischer Antriebe</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(1) Wird eine Zentralheizung in ein Gebäude eingebaut, hat der Bauherr oder der Eigentümer dafür Sorge zu tragen, dass die Zentralheizung mit zentralen selbsttätig wirkenden Einrichtungen zur Verringerung und Abschaltung der Wärmezufuhr sowie zur Ein- und Ausschaltung elektrischer Antriebe ausgestattet ist. Die Regelung der Wärmezufuhr sowie der elektrischen Antriebe im Sinne von Satz 1 erfolgt in Abhängigkeit von</w:t>
      </w:r>
    </w:p>
    <w:p>
      <w:pPr>
        <w:ind w:left="420"/>
      </w:pPr>
      <w:r>
        <w:t xml:space="preserve">1. der Außentemperatur oder einer anderen geeigneten Führungsgröße und</w:t>
      </w:r>
    </w:p>
    <w:p>
      <w:pPr>
        <w:ind w:left="420"/>
      </w:pPr>
      <w:r>
        <w:t xml:space="preserve">2. der Zeit.</w:t>
      </w:r>
    </w:p>
    <w:p>
      <w:r>
        <w:t xml:space="preserve">(2) Soweit die in Absatz 1 Satz 1 geforderte Ausstattung bei einer Zentralheizung in einem bestehenden Gebäude nicht vorhanden ist, muss der Eigentümer sie bis zum 30. September 2021 nachrüsten.</w:t>
      </w:r>
    </w:p>
    <w:p>
      <w:r>
        <w:t xml:space="preserve">(3) Wird in einem Wohngebäude, das mehr als fünf Wohnungen hat, eine Zentralheizung eingebaut, die jede einzelne Wohnung mittels Wärmeübertrager im Durchlaufprinzip mit Wärme für die Beheizung und die Warmwasserbereitung aus dem zentralen System versorgt, kann jede einzelne Wohnung mit den Einrichtungen nach Absatz 1 ausgestattet werden.</w:t>
      </w:r>
    </w:p>
    <w:p>
      <w:r>
        <w:rPr>
          <w:color w:val="555555"/>
          <w:sz w:val="17"/>
        </w:rPr>
        <w:t xml:space="preserve">Zitiervorschlag: § 61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