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60c GEG — Hydraulischer Abgleich und weitere Maßnahmen zur Heizungsoptimierung</w:t>
      </w:r>
    </w:p>
    <w:p>
      <w:r>
        <w:rPr>
          <w:color w:val="555555"/>
          <w:sz w:val="18"/>
        </w:rPr>
        <w:t xml:space="preserve">Gebäudemodernisierungsgesetz</w:t>
      </w:r>
    </w:p>
    <w:p>
      <w:r>
        <w:rPr>
          <w:color w:val="555555"/>
          <w:sz w:val="18"/>
        </w:rPr>
        <w:t xml:space="preserve">Stand: 01.10.2024 (konsolidierte Textfassung, kein amtliches Inkrafttretensdatum)</w:t>
      </w:r>
    </w:p>
    <w:p>
      <w:r>
        <w:t xml:space="preserve">(1) Ein Heizungssystem mit Wasser als Wärmeträger ist nach dem Einbau oder der Aufstellung einer Heizungsanlage zum Zweck der Inbetriebnahme in Gebäuden mit mindestens sechs Wohnungen oder sonstigen selbständigen Nutzungseinheiten hydraulisch abzugleichen.</w:t>
      </w:r>
    </w:p>
    <w:p>
      <w:r>
        <w:t xml:space="preserve">(2) Die Durchführung des hydraulischen Abgleichs im Sinne dieser Regelung beinhaltet unter Berücksichtigung aller wesentlichen Komponenten des Heizungssystems mindestens folgende Planungs- und Umsetzungsleistungen:</w:t>
      </w:r>
    </w:p>
    <w:p>
      <w:pPr>
        <w:ind w:left="420"/>
      </w:pPr>
      <w:r>
        <w:t xml:space="preserve">1. eine raumweise Heizlastberechnung,</w:t>
      </w:r>
    </w:p>
    <w:p>
      <w:pPr>
        <w:ind w:left="420"/>
      </w:pPr>
      <w:r>
        <w:t xml:space="preserve">2. eine Prüfung und nötigenfalls eine Optimierung der Heizflächen im Hinblick auf eine möglichst niedrige Vorlauftemperatur und</w:t>
      </w:r>
    </w:p>
    <w:p>
      <w:pPr>
        <w:ind w:left="420"/>
      </w:pPr>
      <w:r>
        <w:t xml:space="preserve">3. die Anpassung der Vorlauftemperaturregelung.</w:t>
      </w:r>
    </w:p>
    <w:p>
      <w:r>
        <w:t xml:space="preserve">Für die raumweise Heizlastberechnung ist das in der DIN EN 12831, Teil 1, Ausgabe September 2017, in Verbindung mit DIN/TS 12831, Teil 1, Ausgabe April 2020,[3] vorgesehene Verfahren anzuwenden.</w:t>
      </w:r>
    </w:p>
    <w:p>
      <w:r>
        <w:t xml:space="preserve">(3) Der hydraulische Abgleich ist nach Maßgabe des Verfahrens B nach der ZVSHK-Fachregel „Optimierung von Heizungsanlagen im Bestand“, VdZ – Wirtschaftsvereinigung Gebäude und Energie e. V., 1. aktualisierte Neuauflage April 2022, Nummer 4.2. oder nach einem gleichwertigen Verfahren durchzuführen.</w:t>
      </w:r>
    </w:p>
    <w:p>
      <w:r>
        <w:t xml:space="preserve">(4) Die Bestätigung des hydraulischen Abgleichs ist einschließlich der Einstellungswerte, der Heizlast des Gebäudes, der eingestellten Leistung der Wärmeerzeuger und der raumweisen Heizlastberechnung, der Auslegungstemperatur, der Einstellung der Regelung und des Drückens im Ausdehnungsgefäß schriftlich festzuhalten und dem Verantwortlichen mitzuteilen. Die Bestätigung nach Satz 1 ist auf Verlangen dem Mieter unverzüglich vorzulegen. § 60a Absatz 5 Satz 4 ist entsprechend anzuwenden.</w:t>
      </w:r>
    </w:p>
    <w:p>
      <w:r>
        <w:t xml:space="preserve">3 Für die raumweise Heizlastberechnung gilt das Verfahren der DIN EN 12831, Teil 1, Ausgabe September 2017, in Verbindung mit DIN/TS 12831, Teil 1, Ausgabe April 2020, die bei der Beuth Verlag GmbH, Berlin, zu beziehen und beim Deutschen Patentamt archivmäßig gesichert hinterlegt sind.</w:t>
      </w:r>
    </w:p>
    <w:p>
      <w:r>
        <w:rPr>
          <w:color w:val="555555"/>
          <w:sz w:val="17"/>
        </w:rPr>
        <w:t xml:space="preserve">Zitiervorschlag: § 60c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https://recht.nulegal.eu/gesetze/GEG/60c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