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GEG — Wartung und Instandhaltung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Komponenten, die einen wesentlichen Einfluss auf den Wirkungsgrad von Anlagen und Einrichtungen der Heizungs-, Kühl- und Raumlufttechnik sowie der Warmwasserversorgung haben, sind vom Betreiber regelmäßig zu warten und instand zu halten.</w:t>
      </w:r>
    </w:p>
    <w:p>
      <w:r>
        <w:t xml:space="preserve">(2) Für die Wartung und Instandhaltung ist Fachkunde erforderlich. Fachkundig ist, wer die zur Wartung und Instandhaltung notwendigen Fachkenntnisse und Fertigkeiten besitzt. Die Handwerksordnung bleibt unberührt.</w:t>
      </w:r>
    </w:p>
    <w:p>
      <w:r>
        <w:rPr>
          <w:color w:val="555555"/>
          <w:sz w:val="17"/>
        </w:rPr>
        <w:t xml:space="preserve">Zitiervorschlag: § 60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