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GEG — Verordnungsermächtigung zur Verteilung der Betriebskosten und zu Abrechnungs- und Verbrauchsinformationen</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Die Bundesregierung wird ermächtigt, durch Rechtsverordnung mit Zustimmung des Bundesrates vorzuschreiben, dass</w:t>
      </w:r>
    </w:p>
    <w:p>
      <w:pPr>
        <w:ind w:left="420"/>
      </w:pPr>
      <w:r>
        <w:t xml:space="preserve">1. der Energieverbrauch der Benutzer von heizungs-, kühl- oder raumlufttechnischen oder der Versorgung mit Warmwasser dienenden gemeinschaftlichen Anlagen oder Einrichtungen erfasst wird,</w:t>
      </w:r>
    </w:p>
    <w:p>
      <w:pPr>
        <w:ind w:left="420"/>
      </w:pPr>
      <w:r>
        <w:t xml:space="preserve">2. die Betriebskosten dieser Anlagen oder Einrichtungen so auf die Benutzer zu verteilen sind, dass dem Energieverbrauch der Benutzer Rechnung getragen wird,</w:t>
      </w:r>
    </w:p>
    <w:p>
      <w:pPr>
        <w:ind w:left="420"/>
      </w:pPr>
      <w:r>
        <w:t xml:space="preserve">3. die Benutzer in regelmäßigen, im Einzelnen zu bestimmenden Abständen auf klare und verständliche Weise Informationen erhalten über Daten, die für die Einschätzung, den Vergleich und die Steuerung des Energieverbrauchs und der Betriebskosten von heizungs-, kühl- oder raumlufttechnischen oder der Versorgung mit Warmwasser dienenden gemeinschaftlichen Anlagen oder Einrichtungen relevant sind, und über Stellen, bei denen weitergehende Informationen und Dienstleistungen zum Thema Energieeffizienz verfügbar sind,</w:t>
      </w:r>
    </w:p>
    <w:p>
      <w:pPr>
        <w:ind w:left="420"/>
      </w:pPr>
      <w:r>
        <w:t xml:space="preserve">4. die zum Zwecke der Datenverarbeitung eingesetzte Technik einem Stand der Technik entsprechen muss, der Datenschutz, Datensicherheit und Interoperabilität gewährleistet, und</w:t>
      </w:r>
    </w:p>
    <w:p>
      <w:pPr>
        <w:ind w:left="420"/>
      </w:pPr>
      <w:r>
        <w:t xml:space="preserve">5. bei einem Wechsel des Abrechnungsdienstleisters oder einer Übernahme der Abrechnung durch den Gebäudeeigentümer die für die Abrechnung notwendigen Daten dem neuen Abrechnungsdienstleister oder dem Gebäudeeigentümer zugänglich gemacht werden müssen.</w:t>
      </w:r>
    </w:p>
    <w:p>
      <w:r>
        <w:t xml:space="preserve">(2) In der Rechtsverordnung nach Absatz 1 können die Erfassung und Kostenverteilung abweichend von Vereinbarungen der Benutzer und von Vorschriften des Wohnungseigentumsgesetzes geregelt und es kann näher bestimmt werden, wie diese Regelungen sich auf die Rechtsverhältnisse zwischen den Beteiligten auswirken.</w:t>
      </w:r>
    </w:p>
    <w:p>
      <w:r>
        <w:t xml:space="preserve">(3) In der Rechtsverordnung nach Absatz 1 ist vorzusehen, dass auf Antrag des Verpflichteten von den Anforderungen befreit werden kann, soweit diese im Einzelfall wegen besonderer Umstände durch einen unangemessenen Aufwand oder in sonstiger Weise zu einer unbilligen Härte führen.</w:t>
      </w:r>
    </w:p>
    <w:p>
      <w:r>
        <w:t xml:space="preserve">(4) In der Rechtsverordnung nach Absatz 1 sind die erforderlichen technischen und organisatorischen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zur Sicherstellung von Datenschutz und Datensicherheit bei der Verarbeitung der für die in Absatz 1 Nummer 1 bis 4 genannten Zwecke erforderlichen personenbezogenen Daten festzulegen.</w:t>
      </w:r>
    </w:p>
    <w:p>
      <w:r>
        <w:t xml:space="preserve">(5) Die Rechtsverordnung nach Absatz 1 hat vorzusehen, dass der Stand der Technik nach Absatz 1 Nummer 4 jeweils in Technischen Richtlinien und Schutzprofilen des Bundesamts für Sicherheit in der Informationstechnik festgelegt wird.</w:t>
      </w:r>
    </w:p>
    <w:p>
      <w:r>
        <w:rPr>
          <w:color w:val="555555"/>
          <w:sz w:val="17"/>
        </w:rPr>
        <w:t xml:space="preserve">Zitiervorschlag: § 6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