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GEG — Betriebsbereitschaft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Energiebedarfssenkende Einrichtungen in Anlagen und Einrichtungen der Heizungs-, Kühl- und Raumlufttechnik sowie der Warmwasserversorgung sind vom Betreiber betriebsbereit zu erhalten und bestimmungsgemäß zu nutzen.</w:t>
      </w:r>
    </w:p>
    <w:p>
      <w:r>
        <w:t xml:space="preserve">(2) Der Betreiber kann seine Pflicht nach Absatz 1 auch dadurch erfüllen, dass er andere anlagentechnische oder bauliche Maßnahmen trifft, die den Einfluss einer energiebedarfssenkenden Einrichtung auf den Jahres-Primärenergiebedarf ausgleicht.</w:t>
      </w:r>
    </w:p>
    <w:p>
      <w:r>
        <w:rPr>
          <w:color w:val="555555"/>
          <w:sz w:val="17"/>
        </w:rPr>
        <w:t xml:space="preserve">Zitiervorschlag: § 58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