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GEG — Verbot von Veränderungen; entgegenstehende Rechtsvorschriften</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(1) Eine Anlage und Einrichtung der Heizungs-, Kühl- oder Raumlufttechnik oder der Warmwasserversorgung darf, soweit sie zum Nachweis der Anforderungen energieeinsparrechtlicher Vorschriften des Bundes zu berücksichtigen war, nicht in einer Weise verändert werden, dass die energetische Qualität des Gebäudes verschlechtert wird.</w:t>
      </w:r>
    </w:p>
    <w:p>
      <w:r>
        <w:t xml:space="preserve">(2) Die Anforderungen an Anlagen und Einrichtungen nach diesem Teil sind nicht anzuwenden, soweit ihre Erfüllung anderen öffentlich-rechtlichen Vorschriften zur Standsicherheit, zum Brandschutz, zum Schallschutz, zum Arbeitsschutz oder zum Schutz der Gesundheit entgegensteht.</w:t>
      </w:r>
    </w:p>
    <w:p>
      <w:r>
        <w:rPr>
          <w:color w:val="555555"/>
          <w:sz w:val="17"/>
        </w:rPr>
        <w:t xml:space="preserve">Zitiervorschlag: § 57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