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GEG — Grundsatz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Wird eine Heizungsanlage in einem bestehenden Gebäude oder Gebäudenetz ersetzt und der Eigentümer entscheidet sich für eine der in Absatz 2 genannten Optionen oder für eine Kombination daraus, sind die Maßgaben der §§ 43 bis 46 zu beachten.</w:t>
      </w:r>
    </w:p>
    <w:p>
      <w:r>
        <w:t xml:space="preserve">(2) Optionen für den Ersatz einer Heizungsanlage sind</w:t>
      </w:r>
    </w:p>
    <w:p>
      <w:pPr>
        <w:ind w:left="420"/>
      </w:pPr>
      <w:r>
        <w:t xml:space="preserve">1. eine Heizungsanlage, die mit Gas, Heizöl oder Flüssiggas beschickt wird,</w:t>
      </w:r>
    </w:p>
    <w:p>
      <w:pPr>
        <w:ind w:left="420"/>
      </w:pPr>
      <w:r>
        <w:t xml:space="preserve">2. eine elektrisch angetriebene Wärmepumpe,</w:t>
      </w:r>
    </w:p>
    <w:p>
      <w:pPr>
        <w:ind w:left="420"/>
      </w:pPr>
      <w:r>
        <w:t xml:space="preserve">3. eine solarthermische Anlage,</w:t>
      </w:r>
    </w:p>
    <w:p>
      <w:pPr>
        <w:ind w:left="420"/>
      </w:pPr>
      <w:r>
        <w:t xml:space="preserve">4. eine Heizungsanlage zur Nutzung von Biomasse oder grünem, blauem, orangenem oder türkisem Wasserstoff einschließlich daraus hergestellter Derivate,</w:t>
      </w:r>
    </w:p>
    <w:p>
      <w:pPr>
        <w:ind w:left="420"/>
      </w:pPr>
      <w:r>
        <w:t xml:space="preserve">5. eine Wärmepumpen-Hybridheizung bestehend aus einer elektrisch angetriebenen Wärmepumpe in Kombination mit einer Gas-, Heizöl-, Flüssiggas- oder Biomassefeuerung,</w:t>
      </w:r>
    </w:p>
    <w:p>
      <w:pPr>
        <w:ind w:left="420"/>
      </w:pPr>
      <w:r>
        <w:t xml:space="preserve">6. eine Solarthermie-Hybridheizung bestehend aus einer solarthermischen Anlage in Kombination mit einer Gas-, Heizöl-, Flüssiggas- oder Biomassefeuerung,</w:t>
      </w:r>
    </w:p>
    <w:p>
      <w:pPr>
        <w:ind w:left="420"/>
      </w:pPr>
      <w:r>
        <w:t xml:space="preserve">7. eine hocheffiziente KWK-Anlage im Sinne des § 2 Nummer 8a des Kraft-Wärme-Kopplungsgesetzes vom 21. Dezember 2015 (BGBl. I S. 2498), das zuletzt durch Artikel 24 des Gesetzes vom 18. Dezember 2025 (BGBl. 2025 I Nr. 347) geändert worden ist, in der jeweils geltenden Fassung, gebäudeintegriert oder gebäudenah und netzintegriert,</w:t>
      </w:r>
    </w:p>
    <w:p>
      <w:pPr>
        <w:ind w:left="420"/>
      </w:pPr>
      <w:r>
        <w:t xml:space="preserve">8. eine Stromdirektheizung,</w:t>
      </w:r>
    </w:p>
    <w:p>
      <w:pPr>
        <w:ind w:left="420"/>
      </w:pPr>
      <w:r>
        <w:t xml:space="preserve">9. eine Hausübergabestation zum Anschluss an ein Wärmenetz oder</w:t>
      </w:r>
    </w:p>
    <w:p>
      <w:pPr>
        <w:ind w:left="420"/>
      </w:pPr>
      <w:r>
        <w:t xml:space="preserve">10. eine andere innovative Heizungslösung.</w:t>
      </w:r>
    </w:p>
    <w:p>
      <w:r>
        <w:t xml:space="preserve">(3) Die Anforderung nach Absatz 1 ist nicht auf ein Gebäude im Eigentum des Bundes, der verbündeten Streitkräfte oder einer Gesellschaft mit Beteiligung des Bundes anzuwenden, das der Landes- und Bündnisverteidigung dient.</w:t>
      </w:r>
    </w:p>
    <w:p>
      <w:r>
        <w:rPr>
          <w:color w:val="555555"/>
          <w:sz w:val="17"/>
        </w:rPr>
        <w:t xml:space="preserve">Zitiervorschlag: § 42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