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GEG — Vorbildfunktion der öffentlichen Hand</w:t>
      </w:r>
    </w:p>
    <w:p>
      <w:r>
        <w:rPr>
          <w:color w:val="555555"/>
          <w:sz w:val="18"/>
        </w:rPr>
        <w:t xml:space="preserve">Gebäudemodernisierungsgesetz</w:t>
      </w:r>
    </w:p>
    <w:p>
      <w:r>
        <w:rPr>
          <w:color w:val="555555"/>
          <w:sz w:val="18"/>
        </w:rPr>
        <w:t xml:space="preserve">Stand: 01.01.2024 (konsolidierte Textfassung, kein amtliches Inkrafttretensdatum)</w:t>
      </w:r>
    </w:p>
    <w:p>
      <w:r>
        <w:t xml:space="preserve">(1) Einem Nichtwohngebäude, das sich im Eigentum der öffentlichen Hand befindet und von einer Behörde genutzt wird, kommt eine Vorbildfunktion zu. § 13 Absatz 2 des Bundes-Klimaschutzgesetzes vom 12. Dezember 2019 (BGBl. I S. 2513) bleibt unberührt.</w:t>
      </w:r>
    </w:p>
    <w:p>
      <w:r>
        <w:t xml:space="preserve">(2) Wenn die öffentliche Hand ein Nichtwohngebäude im Sinne des Absatzes 1 Satz 1 errichtet oder einer größeren Renovierung gemäß § 3 Absatz 1 Nummer 13a unterzieht, muss sie prüfen, ob und in welchem Umfang Erträge durch die Errichtung einer im unmittelbaren räumlichen Zusammenhang mit dem Gebäude stehenden Anlage zur Erzeugung von Strom aus solarer Strahlungsenergie oder durch solarthermische Anlagen zur Wärme- und Kälteerzeugung erzielt und genutzt werden können.</w:t>
      </w:r>
    </w:p>
    <w:p>
      <w:r>
        <w:t xml:space="preserve">(3) Die öffentliche Hand informiert über die Erfüllung der Vorbildfunktion im Internet oder auf sonstige geeignete Weise; dies kann im Rahmen der Information der Öffentlichkeit nach den Bestimmungen des Bundes und der Länder über den Zugang zu Umweltinformationen geschehen. Der Bund berichtet über die Erfüllung der Vorbildfunktion im Klimaschutzbericht der Bundesregierung.</w:t>
      </w:r>
    </w:p>
    <w:p>
      <w:r>
        <w:t xml:space="preserve">(4) Die Länder können durch Landesrecht für öffentliche Gebäude, mit Ausnahme der öffentlichen Gebäude des Bundes, eigene Regelungen zur Erfüllung der Vorbildfunktion treffen und zu diesem Zweck über die Vorschriften dieses Gesetzes hinausgehen. Hiervon ausgenommen sind Vorgaben für die Berechnungsgrundlagen und -verfahren nach Teil 2 Abschnitt 3.</w:t>
      </w:r>
    </w:p>
    <w:p>
      <w:r>
        <w:rPr>
          <w:color w:val="555555"/>
          <w:sz w:val="17"/>
        </w:rPr>
        <w:t xml:space="preserve">Zitiervorschlag: § 4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