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GEG — Anforderungen an ein bestehendes Gebäude bei Erweiterung und Ausbau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Bei der Erweiterung und dem Ausbau eines Gebäudes um beheizte oder gekühlte Räume darf</w:t>
      </w:r>
    </w:p>
    <w:p>
      <w:pPr>
        <w:ind w:left="420"/>
      </w:pPr>
      <w:r>
        <w:t xml:space="preserve">1. bei Wohngebäuden der spezifische, auf die wärmeübertragende Umfassungsfläche bezogene Transmissionswärmeverlust der Außenbauteile der neu hinzukommenden beheizten oder gekühlten Räume das 1,2fache des entsprechenden Wertes des Referenzgebäudes gemäß der Anlage 1 nicht überschreiten oder</w:t>
      </w:r>
    </w:p>
    <w:p>
      <w:pPr>
        <w:ind w:left="420"/>
      </w:pPr>
      <w:r>
        <w:t xml:space="preserve">2. bei Nichtwohngebäuden die mittleren Wärmedurchgangskoeffizienten der wärmeübertragenden Umfassungsfläche der Außenbauteile der neu hinzukommenden beheizten oder gekühlten Räume das auf eine Nachkommastelle gerundete 1,25fache der Höchstwerte gemäß der Anlage 3 nicht überschreiten.</w:t>
      </w:r>
    </w:p>
    <w:p>
      <w:r>
        <w:t xml:space="preserve">Abweichend von Satz 1 Nummer 2 sind in Fällen, bei denen die hinzukommende zusammenhängende Nutzfläche mehr als 100 Prozent der Nutzfläche des bisherigen Gebäudes beträgt, die Anforderungen nach den §§ 18 und 19 einzuhalten.</w:t>
      </w:r>
    </w:p>
    <w:p>
      <w:r>
        <w:t xml:space="preserve">(2) Ist die hinzukommende zusammenhängende Nutzfläche größer als 50 Quadratmeter, sind außerdem die Anforderungen an den sommerlichen Wärmeschutz nach § 14 einzuhalten.</w:t>
      </w:r>
    </w:p>
    <w:p>
      <w:r>
        <w:rPr>
          <w:color w:val="555555"/>
          <w:sz w:val="17"/>
        </w:rPr>
        <w:t xml:space="preserve">Zitiervorschlag: § 39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