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GEG — Energetische Bewertung eines bestehenden Gebäudes</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Die Anforderungen des § 36 gelten als erfüllt, wenn</w:t>
      </w:r>
    </w:p>
    <w:p>
      <w:pPr>
        <w:ind w:left="420"/>
      </w:pPr>
      <w:r>
        <w:t xml:space="preserve">1. das geänderte Wohngebäude insgesamt</w:t>
      </w:r>
    </w:p>
    <w:p>
      <w:pPr>
        <w:ind w:left="780"/>
      </w:pPr>
      <w:r>
        <w:t xml:space="preserve">a) den Jahres-Primärenergiebedarf für Heizung, Warmwasserbereitung, Lüftung und Kühlung den auf die Gebäudenutzfläche bezogenen Wert des Jahres-Primärenergiebedarfs eines Referenzgebäudes, das die gleiche Geometrie, Gebäudenutzfläche und Ausrichtung wie das geänderte Gebäude aufweist und der technischen Referenzausführung der Anlage 1 entspricht, um nicht mehr als 40 Prozent überschreitet und</w:t>
      </w:r>
    </w:p>
    <w:p>
      <w:pPr>
        <w:ind w:left="780"/>
      </w:pPr>
      <w:r>
        <w:t xml:space="preserve">b) den Höchstwert des spezifischen, auf die wärmeübertragende Umfassungsfläche bezogenen Transmissionswärmeverlusts nach Absatz 2 um nicht mehr als 40 Prozent überschreitet,</w:t>
      </w:r>
    </w:p>
    <w:p>
      <w:pPr>
        <w:ind w:left="420"/>
      </w:pPr>
      <w:r>
        <w:t xml:space="preserve">2. das geänderte Nichtwohngebäude insgesamt</w:t>
      </w:r>
    </w:p>
    <w:p>
      <w:pPr>
        <w:ind w:left="780"/>
      </w:pPr>
      <w:r>
        <w:t xml:space="preserve">a) den Jahres-Primärenergiebedarf für Heizung, Warmwasserbereitung, Lüftung, Kühlung und eingebaute Beleuchtung den auf die Nettogrundfläche bezogenen Wert des Jahres-Primärenergiebedarfs eines Referenzgebäudes, das die gleiche Geometrie, Nettogrundfläche, Ausrichtung und Nutzung, einschließlich der Anordnung der Nutzungseinheiten, wie das geänderte Gebäude aufweist und der technischen Referenzausführung der Anlage 2 entspricht, um nicht mehr als 40 Prozent überschreitet und</w:t>
      </w:r>
    </w:p>
    <w:p>
      <w:pPr>
        <w:ind w:left="780"/>
      </w:pPr>
      <w:r>
        <w:t xml:space="preserve">b) das auf eine Nachkommastelle gerundete 1,25fache der Höchstwerte der mittleren Wärmedurchgangskoeffizienten der wärmeübertragenden Umfassungsfläche gemäß der Anlage 3 um nicht mehr als 40 Prozent überschreitet.</w:t>
      </w:r>
    </w:p>
    <w:p>
      <w:r>
        <w:t xml:space="preserve">§ 18 Absatz 1 Satz 2 ist entsprechend anzuwenden.</w:t>
      </w:r>
    </w:p>
    <w:p>
      <w:r>
        <w:t xml:space="preserve">(2) Der Höchstwert nach Absatz 1 Satz 1 Nummer 1 Buchstabe b beträgt</w:t>
      </w:r>
    </w:p>
    <w:p>
      <w:pPr>
        <w:ind w:left="420"/>
      </w:pPr>
      <w:r>
        <w:t xml:space="preserve">1. bei einem freistehenden Wohngebäude mit einer Gebäudenutzfläche von bis zu 350 Quadratmetern 0,40 Watt pro Quadratmeter und Kelvin,</w:t>
      </w:r>
    </w:p>
    <w:p>
      <w:pPr>
        <w:ind w:left="420"/>
      </w:pPr>
      <w:r>
        <w:t xml:space="preserve">2. bei einem freistehenden Wohngebäude mit einer Gebäudenutzfläche von mehr als 350 Quadratmetern 0,50 Watt pro Quadratmeter und Kelvin,</w:t>
      </w:r>
    </w:p>
    <w:p>
      <w:pPr>
        <w:ind w:left="420"/>
      </w:pPr>
      <w:r>
        <w:t xml:space="preserve">3. bei einem einseitig angebauten Wohngebäude 0,45 Watt pro Quadratmeter und Kelvin oder</w:t>
      </w:r>
    </w:p>
    <w:p>
      <w:pPr>
        <w:ind w:left="420"/>
      </w:pPr>
      <w:r>
        <w:t xml:space="preserve">4. bei allen anderen Wohngebäuden 0,65 Watt pro Quadratmeter und Kelvin.</w:t>
      </w:r>
    </w:p>
    <w:p>
      <w:r>
        <w:t xml:space="preserve">(3) In den Fällen des Absatzes 1 sind die Berechnungsverfahren nach § 20 Absatz 1 oder Absatz 2 oder nach § 21 Absatz 1 und 2 unter Beachtung der Maßgaben nach § 20 Absatz 3 bis 6, der §§ 22 bis 30 und der §§ 32 und 33 sowie nach Maßgabe von Absatz 4 entsprechend anzuwenden.</w:t>
      </w:r>
    </w:p>
    <w:p>
      <w:r>
        <w:t xml:space="preserve">(4) Fehlen Angaben zu geometrischen Abmessungen eines Gebäudes, können diese durch vereinfachtes Aufmaß ermittelt werden. Liegen energetische Kennwerte für bestehende Bauteile und Anlagenkomponenten nicht vor, können gesicherte Erfahrungswerte für Bauteile und Anlagenkomponenten vergleichbarer Altersklassen verwendet werden. In den Fällen der Sätze 1 und 2 können anerkannte Regeln der Technik verwendet werden. Die Einhaltung solcher Regeln wird vermutet, soweit Vereinfachungen für die Datenaufnahme und die Ermittlung der energetischen Eigenschaften sowie gesicherte Erfahrungswerte verwendet werden, die vom Bundesministerium für Wirtschaft und Energie und vom Bundesministerium für Wohnen, Stadtentwicklung und Bauwesen gemeinsam im Bundesanzeiger bekannt gemacht worden sind.</w:t>
      </w:r>
    </w:p>
    <w:p>
      <w:r>
        <w:t xml:space="preserve">(5) Absatz 4 kann auch in den Fällen des § 36 sowie des § 39 angewendet werden.</w:t>
      </w:r>
    </w:p>
    <w:p>
      <w:r>
        <w:rPr>
          <w:color w:val="555555"/>
          <w:sz w:val="17"/>
        </w:rPr>
        <w:t xml:space="preserve">Zitiervorschlag: § 38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