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GEG — Berechnung des Wärmedurchgangskoeffizienten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Der Wärmedurchgangskoeffizient eines Bauteils nach § 36 wird unter Berücksichtigung der neuen und der vorhandenen Bauteilschichten berechnet. Für die Berechnung sind folgende Verfahren anzuwenden:</w:t>
      </w:r>
    </w:p>
    <w:p>
      <w:pPr>
        <w:ind w:left="420"/>
      </w:pPr>
      <w:r>
        <w:t xml:space="preserve">1. DIN V 18599-2: 2018-09 Abschnitt 6.1.4.3 für die Berechnung der an Erdreich grenzenden Bauteile,</w:t>
      </w:r>
    </w:p>
    <w:p>
      <w:pPr>
        <w:ind w:left="420"/>
      </w:pPr>
      <w:r>
        <w:t xml:space="preserve">2. DIN 4108-4: 2017-03 in Verbindung mit DIN EN ISO 6946: 2008-04 für die Berechnung opaker Bauteile und</w:t>
      </w:r>
    </w:p>
    <w:p>
      <w:pPr>
        <w:ind w:left="420"/>
      </w:pPr>
      <w:r>
        <w:t xml:space="preserve">3. DIN 4108-4: 2017-03 für die Berechnung transparenter Bauteile sowie von Vorhangfassaden.</w:t>
      </w:r>
    </w:p>
    <w:p>
      <w:r>
        <w:t xml:space="preserve">(2) Werden bei Maßnahmen nach § 36 Gefälledächer durch die keilförmige Anordnung einer Dämmschicht aufgebaut, so ist der Wärmedurchgangskoeffizient nach Anhang C der DIN EN ISO 6946: 2008-04 in Verbindung mit DIN 4108-4: 2017-03 zu ermitteln. Dabei muss der Bemessungswert des Wärmedurchgangswiderstandes am tiefsten Punkt der neuen Dämmschicht den Mindestwärmeschutz nach § 11 erfüllen.</w:t>
      </w:r>
    </w:p>
    <w:p>
      <w:r>
        <w:rPr>
          <w:color w:val="555555"/>
          <w:sz w:val="17"/>
        </w:rPr>
        <w:t xml:space="preserve">Zitiervorschlag: § 37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