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GEG — Aufrechterhaltung der energetischen Qualität; entgegenstehende Rechtsvorschriften</w:t>
      </w:r>
    </w:p>
    <w:p>
      <w:r>
        <w:rPr>
          <w:color w:val="555555"/>
          <w:sz w:val="18"/>
        </w:rPr>
        <w:t xml:space="preserve">Gebäudemodernisierungsgesetz</w:t>
      </w:r>
    </w:p>
    <w:p>
      <w:r>
        <w:rPr>
          <w:color w:val="555555"/>
          <w:sz w:val="18"/>
        </w:rPr>
        <w:t xml:space="preserve">Stand: 07.08.2026 (konsolidierte Textfassung, kein amtliches Inkrafttretensdatum)</w:t>
      </w:r>
    </w:p>
    <w:p>
      <w:r>
        <w:t xml:space="preserve">(1) Außenbauteile eines bestehenden Gebäudes dürfen nicht in einer Weise verändert werden, dass die energetische Qualität des Gebäudes verschlechtert wird. Satz 1 ist nicht anzuwenden auf Änderungen von Außenbauteilen, wenn die Fläche der geänderten Bauteile nicht mehr als 10 Prozent der gesamten Fläche der jeweiligen Bauteilgruppe nach Anlage 7 betrifft.</w:t>
      </w:r>
    </w:p>
    <w:p>
      <w:r>
        <w:t xml:space="preserve">(2) Die Anforderungen an ein bestehendes Gebäude nach diesem Teil sind nicht anzuwenden, soweit ihre Erfüllung anderen öffentlich-rechtlichen Vorschriften zur Standsicherheit, zum Brandschutz, zum Schallschutz, zum Arbeitsschutz oder zum Schutz der Gesundheit entgegensteht.</w:t>
      </w:r>
    </w:p>
    <w:p>
      <w:r>
        <w:rPr>
          <w:color w:val="555555"/>
          <w:sz w:val="17"/>
        </w:rPr>
        <w:t xml:space="preserve">Zitiervorschlag: § 34 GEG</w:t>
      </w:r>
    </w:p>
    <w:p>
      <w:r>
        <w:rPr>
          <w:color w:val="555555"/>
          <w:sz w:val="17"/>
        </w:rPr>
        <w:t xml:space="preserve">Quelle: Bundesamt für Justiz, abgerufen 07.08.2026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https://recht.nulegal.eu/gesetze/GEG/34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