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GEG — Begriffsbestimmungen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Im Sinne dieses Gesetzes ist</w:t>
      </w:r>
    </w:p>
    <w:p>
      <w:pPr>
        <w:ind w:left="420"/>
      </w:pPr>
      <w:r>
        <w:t xml:space="preserve">1. „Abwärme“ die Wärme oder Kälte, die aus technischen Prozessen und aus baulichen Anlagen stammenden Abluft- und Abwasserströmen entnommen wird,</w:t>
      </w:r>
    </w:p>
    <w:p>
      <w:pPr>
        <w:ind w:left="420"/>
      </w:pPr>
      <w:r>
        <w:t xml:space="preserve">2. „Aperturfläche“ die Lichteintrittsfläche einer solarthermischen Anlage,</w:t>
      </w:r>
    </w:p>
    <w:p>
      <w:pPr>
        <w:ind w:left="420"/>
      </w:pPr>
      <w:r>
        <w:t xml:space="preserve">3. „Baudenkmal“ ein nach Landesrecht geschütztes Gebäude oder eine nach Landesrecht geschützte Gebäudemehrheit,</w:t>
      </w:r>
    </w:p>
    <w:p>
      <w:pPr>
        <w:ind w:left="420"/>
      </w:pPr>
      <w:r>
        <w:t xml:space="preserve">4. „beheizter Raum“ ein Raum, der nach seiner Zweckbestimmung direkt oder durch Raumverbund beheizt wird,</w:t>
      </w:r>
    </w:p>
    <w:p>
      <w:pPr>
        <w:ind w:left="420"/>
      </w:pPr>
      <w:r>
        <w:t xml:space="preserve">4a. „Bioöl“ ein Heizöl, das hergestellt wird</w:t>
      </w:r>
    </w:p>
    <w:p>
      <w:pPr>
        <w:ind w:left="780"/>
      </w:pPr>
      <w:r>
        <w:t xml:space="preserve">a) aus der Veresterung von Biomasse zu Fettsäuremethylester oder</w:t>
      </w:r>
    </w:p>
    <w:p>
      <w:pPr>
        <w:ind w:left="780"/>
      </w:pPr>
      <w:r>
        <w:t xml:space="preserve">b) aus der Hydrierung von Biomasse zu hydriertem Pflanzenöl,</w:t>
      </w:r>
    </w:p>
    <w:p>
      <w:pPr>
        <w:ind w:left="420"/>
      </w:pPr>
      <w:r>
        <w:t xml:space="preserve">4b. „blauer Wasserstoff“ Wasserstoff aus der Reformierung von Erdgas, dessen Erzeugung mit einem Kohlendioxid-Abscheidungsverfahren und Kohlendioxid-Speicherungsverfahren gekoppelt wird und der in Bezug auf die Verringerung von Treibhausgasemissionen einen Mindestschwellenwert von 70 Prozent des Vergleichswerts für fossile Brennstoffe für erneuerbare Kraftstoffe nicht biogenen Ursprungs erreicht, welcher in der nach Artikel 29a Absatz 3 der Richtlinie (EU) 2018/2001 in der Fassung vom 13. Juni 2024 angenommenen Methode für die Bewertung der durch erneuerbare Kraftstoffe nicht biogenen Ursprungs und wiederverwertete kohlenstoffhaltige Kraftstoffe erzielten Treibhausgasemissionseinsparungen festgelegt ist,</w:t>
      </w:r>
    </w:p>
    <w:p>
      <w:pPr>
        <w:ind w:left="420"/>
      </w:pPr>
      <w:r>
        <w:t xml:space="preserve">5. „Brennwertkessel“ ein Heizkessel, der die energetische Nutzung des in den Abgasen enthaltenen Wasserdampfes durch Kondensation des Wasserdampfes im Betrieb vorsieht,</w:t>
      </w:r>
    </w:p>
    <w:p>
      <w:pPr>
        <w:ind w:left="420"/>
      </w:pPr>
      <w:r>
        <w:t xml:space="preserve">6. „einseitig angebautes Wohngebäude“ ein Wohngebäude, von dessen nach einer Himmelsrichtung weisenden vertikalen Flächen ein Anteil von 80 Prozent oder mehr an ein anderes Wohngebäude oder ein Nichtwohngebäude mit einer Raum-Solltemperatur von mindestens 19 Grad Celsius angrenzt,</w:t>
      </w:r>
    </w:p>
    <w:p>
      <w:pPr>
        <w:ind w:left="420"/>
      </w:pPr>
      <w:r>
        <w:t xml:space="preserve">7. „Elektroenergiebedarf für Nutzeranwendungen“ die weiteren Elektroenergieverbräuche nach DIN V 18599-9: 2018-09[*],</w:t>
      </w:r>
    </w:p>
    <w:p>
      <w:pPr>
        <w:ind w:left="420"/>
      </w:pPr>
      <w:r>
        <w:t xml:space="preserve">8. „Energiebedarfsausweis“ ein Energieausweis, der auf der Grundlage des berechneten Energiebedarfs ausgestellt wird,</w:t>
      </w:r>
    </w:p>
    <w:p>
      <w:pPr>
        <w:ind w:left="420"/>
      </w:pPr>
      <w:r>
        <w:t xml:space="preserve">8a. „Energieleistungsvertrag“ eine vertragliche Vereinbarung zwischen dem Begünstigten und dem Erbringer einer Maßnahme zur Energieeffizienzverbesserung, die während der gesamten Vertragslaufzeit einer Überprüfung und Überwachung unterliegt und in deren Rahmen Investitionen für Arbeiten, Lieferungen oder Dienstleistungen in die betreffende Maßnahme zur Energieeffizienzverbesserung in Bezug auf einen vertraglich vereinbarten Umfang an Energieeffizienzverbesserungen oder ein anderes vereinbartes Energieleistungskriterium, wie finanzielle Einsparungen, getätigt werden,</w:t>
      </w:r>
    </w:p>
    <w:p>
      <w:pPr>
        <w:ind w:left="420"/>
      </w:pPr>
      <w:r>
        <w:t xml:space="preserve">9. „Energieverbrauchsausweis“ ein Energieausweis, der auf der Grundlage des erfassten Energieverbrauchs ausgestellt wird,</w:t>
      </w:r>
    </w:p>
    <w:p>
      <w:pPr>
        <w:ind w:left="420"/>
      </w:pPr>
      <w:r>
        <w:t xml:space="preserve">9a. „Gebäudenetz“ ein Netz zur ausschließlichen Versorgung mit Wärme und Kälte von mindestens zwei und bis zu 16 Gebäuden und bis zu 100 Wohneinheiten,</w:t>
      </w:r>
    </w:p>
    <w:p>
      <w:pPr>
        <w:ind w:left="420"/>
      </w:pPr>
      <w:r>
        <w:t xml:space="preserve">10. „Gebäudenutzfläche“ die Nutzfläche eines Wohngebäudes nach DIN V 18599: 2018-09, die beheizt oder gekühlt wird,</w:t>
      </w:r>
    </w:p>
    <w:p>
      <w:pPr>
        <w:ind w:left="420"/>
      </w:pPr>
      <w:r>
        <w:t xml:space="preserve">10a. „gebäudetechnisches System“ die technische Ausrüstung eines Gebäudes oder Gebäudeteils für Raumheizung, Raumkühlung, Lüftung, Warmwasserbereitung für den häuslichen Gebrauch, eingebaute Beleuchtung, Gebäudeautomatisierung und -steuerung, Elektrizitätserzeugung am Gebäudestandort oder für eine Kombination derselben, einschließlich Systemen, die Energie aus erneuerbaren Quellen nutzen,</w:t>
      </w:r>
    </w:p>
    <w:p>
      <w:pPr>
        <w:ind w:left="420"/>
      </w:pPr>
      <w:r>
        <w:t xml:space="preserve">11. „gekühlter Raum“ ein Raum, der nach seiner Zweckbestimmung direkt oder durch Raumverbund gekühlt wird,</w:t>
      </w:r>
    </w:p>
    <w:p>
      <w:pPr>
        <w:ind w:left="420"/>
      </w:pPr>
      <w:r>
        <w:t xml:space="preserve">12. „Gesamtenergiebedarf“ der nach Maßgabe dieses Gesetzes bestimmte Jahres-Primärenergiebedarf</w:t>
      </w:r>
    </w:p>
    <w:p>
      <w:pPr>
        <w:ind w:left="780"/>
      </w:pPr>
      <w:r>
        <w:t xml:space="preserve">a) eines Wohngebäudes für Heizung, Warmwasserbereitung, Lüftung sowie Kühlung oder</w:t>
      </w:r>
    </w:p>
    <w:p>
      <w:pPr>
        <w:ind w:left="780"/>
      </w:pPr>
      <w:r>
        <w:t xml:space="preserve">b) eines Nichtwohngebäudes für Heizung, Warmwasserbereitung, Lüftung, Kühlung sowie eingebaute Beleuchtung,</w:t>
      </w:r>
    </w:p>
    <w:p>
      <w:pPr>
        <w:ind w:left="420"/>
      </w:pPr>
      <w:r>
        <w:t xml:space="preserve">13. „Geothermie“ die dem Erdboden entnommene Wärme,</w:t>
      </w:r>
    </w:p>
    <w:p>
      <w:pPr>
        <w:ind w:left="420"/>
      </w:pPr>
      <w:r>
        <w:t xml:space="preserve">13a. „größere Renovierung“ die Renovierung eines Gebäudes, bei der mehr als 25 Prozent der wärmeübertragenden Umfassungsfläche einer Renovierung unterzogen werden,</w:t>
      </w:r>
    </w:p>
    <w:p>
      <w:pPr>
        <w:ind w:left="420"/>
      </w:pPr>
      <w:r>
        <w:t xml:space="preserve">13b. „grüner Wasserstoff“ Wasserstoff, der die Anforderungen nach Artikel 2 Nummer 36 der Richtlinie (EU) 2018/2001 erfüllt, wobei der Wasserstoff zur Speicherung oder zum Transport auch in anderen Energieträgern chemisch oder physikalisch gespeichert werden kann,</w:t>
      </w:r>
    </w:p>
    <w:p>
      <w:pPr>
        <w:ind w:left="420"/>
      </w:pPr>
      <w:r>
        <w:t xml:space="preserve">14. „Heizkessel“ ein aus Kessel und Brenner bestehender Wärmeerzeuger, der dazu dient, die durch die Verbrennung freigesetzte Wärme an einen Wärmeträger zu übertragen,</w:t>
      </w:r>
    </w:p>
    <w:p>
      <w:pPr>
        <w:ind w:left="420"/>
      </w:pPr>
      <w:r>
        <w:t xml:space="preserve">14a. „Heizungsanlage“ eine Anlage zur Erzeugung von Raumwärme, Warmwasser oder einer Kombination davon einschließlich Hausübergabestationen zum Anschluss an ein Wärmenetz und Wärmeüberträger von unvermeidbarer Abwärme, mit Ausnahme von handbeschickten Einzelraumfeuerungsanlagen im Sinne des § 2 Nummer 3, offenen Kaminen nach § 2 Nummer 12 und Badeöfen nach § 1 Absatz 2 Satz 1 Nummer 2 Buchstabe d der Verordnung über kleine und mittlere Feuerungsanlagen vom 26. Januar 2010 (BGBl. I S. 38) in der jeweils geltenden Fassung,</w:t>
      </w:r>
    </w:p>
    <w:p>
      <w:pPr>
        <w:ind w:left="420"/>
      </w:pPr>
      <w:r>
        <w:t xml:space="preserve">15. „Jahres-Primärenergiebedarf“ der jährliche Gesamtenergiebedarf eines Gebäudes, der zusätzlich zum Energiegehalt der eingesetzten Energieträger und von elektrischem Strom auch die vorgelagerten Prozessketten bei der Gewinnung, Umwandlung, Speicherung und Verteilung mittels Primärenergiefaktoren einbezieht,</w:t>
      </w:r>
    </w:p>
    <w:p>
      <w:pPr>
        <w:ind w:left="420"/>
      </w:pPr>
      <w:r>
        <w:t xml:space="preserve">16. (weggefallen),</w:t>
      </w:r>
    </w:p>
    <w:p>
      <w:pPr>
        <w:ind w:left="420"/>
      </w:pPr>
      <w:r>
        <w:t xml:space="preserve">17. „kleines Gebäude“ ein Gebäude mit nicht mehr als 50 Quadratmetern Nutzfläche,</w:t>
      </w:r>
    </w:p>
    <w:p>
      <w:pPr>
        <w:ind w:left="420"/>
      </w:pPr>
      <w:r>
        <w:t xml:space="preserve">18. „Klimaanlage“ die Gesamtheit aller zu einer gebäudetechnischen Anlage gehörenden Anlagenbestandteile, die für eine Raumluftbehandlung erforderlich sind, durch die die Temperatur geregelt wird,</w:t>
      </w:r>
    </w:p>
    <w:p>
      <w:pPr>
        <w:ind w:left="420"/>
      </w:pPr>
      <w:r>
        <w:t xml:space="preserve">19. „Nah-/Fernwärme“ die Wärme, die mittels eines Wärmeträgers durch ein Wärmenetz verteilt wird,</w:t>
      </w:r>
    </w:p>
    <w:p>
      <w:pPr>
        <w:ind w:left="420"/>
      </w:pPr>
      <w:r>
        <w:t xml:space="preserve">20. „Nah-/Fernkälte“ die Kälte, die mittels eines Kälteträgers durch ein Kältenetz verteilt wird,</w:t>
      </w:r>
    </w:p>
    <w:p>
      <w:pPr>
        <w:ind w:left="420"/>
      </w:pPr>
      <w:r>
        <w:t xml:space="preserve">21. „Nennleistung“ die vom Hersteller festgelegte und im Dauerbetrieb unter Beachtung des vom Hersteller angegebenen Wirkungsgrades als einhaltbar garantierte größte Wärme- oder Kälteleistung in Kilowatt,</w:t>
      </w:r>
    </w:p>
    <w:p>
      <w:pPr>
        <w:ind w:left="420"/>
      </w:pPr>
      <w:r>
        <w:t xml:space="preserve">22. „Nettogrundfläche“ die Nutzfläche eines Nichtwohngebäudes nach DIN V 18599: 2018-09, die beheizt oder gekühlt wird,</w:t>
      </w:r>
    </w:p>
    <w:p>
      <w:pPr>
        <w:ind w:left="420"/>
      </w:pPr>
      <w:r>
        <w:t xml:space="preserve">23. „Nichtwohngebäude“ ein Gebäude, das nicht unter Nummer 33 fällt,</w:t>
      </w:r>
    </w:p>
    <w:p>
      <w:pPr>
        <w:ind w:left="420"/>
      </w:pPr>
      <w:r>
        <w:t xml:space="preserve">24. „Niedertemperatur-Heizkessel“ ein Heizkessel, der kontinuierlich mit einer Eintrittstemperatur von 35 Grad Celsius bis 40 Grad Celsius betrieben werden kann und in dem es unter bestimmten Umständen zur Kondensation des in den Abgasen enthaltenen Wasserdampfes kommen kann,</w:t>
      </w:r>
    </w:p>
    <w:p>
      <w:pPr>
        <w:ind w:left="420"/>
      </w:pPr>
      <w:r>
        <w:t xml:space="preserve">25. „Niedrigstenergiegebäude“ ein Gebäude, das eine sehr gute Gesamtenergieeffizienz aufweist und dessen Energiebedarf sehr gering ist und, soweit möglich, zu einem ganz wesentlichen Teil durch Energie aus erneuerbaren Quellen gedeckt werden soll,</w:t>
      </w:r>
    </w:p>
    <w:p>
      <w:pPr>
        <w:ind w:left="420"/>
      </w:pPr>
      <w:r>
        <w:t xml:space="preserve">26. „Nutzfläche“</w:t>
      </w:r>
    </w:p>
    <w:p>
      <w:pPr>
        <w:ind w:left="780"/>
      </w:pPr>
      <w:r>
        <w:t xml:space="preserve">a) bei einem Wohngebäude die Gebäudenutzfläche oder</w:t>
      </w:r>
    </w:p>
    <w:p>
      <w:pPr>
        <w:ind w:left="780"/>
      </w:pPr>
      <w:r>
        <w:t xml:space="preserve">b) bei einem Nichtwohngebäude die Nettogrundfläche,</w:t>
      </w:r>
    </w:p>
    <w:p>
      <w:pPr>
        <w:ind w:left="420"/>
      </w:pPr>
      <w:r>
        <w:t xml:space="preserve">27. „Nutzfläche mit starkem Publikumsverkehr“ die öffentlich zugängliche Nutzfläche, die während ihrer Öffnungszeiten von einer großen Zahl von Menschen aufgesucht wird; eine solche Fläche kann sich insbesondere in einer öffentlichen oder einer privaten Einrichtung befinden, die für gewerbliche, freiberufliche, kulturelle, soziale oder behördliche Zwecke genutzt wird,</w:t>
      </w:r>
    </w:p>
    <w:p>
      <w:pPr>
        <w:ind w:left="420"/>
      </w:pPr>
      <w:r>
        <w:t xml:space="preserve">28. „oberste Geschossdecke“ die zugängliche Decke beheizter Räume zum unbeheizten Dachraum,</w:t>
      </w:r>
    </w:p>
    <w:p>
      <w:pPr>
        <w:ind w:left="420"/>
      </w:pPr>
      <w:r>
        <w:t xml:space="preserve">28a. „orangener Wasserstoff“ Wasserstoff, der aus Biomasse oder unter Verwendung von Strom aus Anlagen der Abfallwirtschaft hergestellt wird und der in Bezug auf die Verringerung von Treibhausgasemissionen einen Mindestschwellenwert von 70 Prozent des Vergleichswerts für fossile Brennstoffe für erneuerbare Kraftstoffe nicht biogenen Ursprungs erreicht, welcher in der nach Artikel 29a Absatz 3 der Richtlinie (EU) 2018/2001 in der Fassung vom 13. Juni 2024 angenommenen Methode für die Bewertung der durch erneuerbare Kraftstoffe nicht biogenen Ursprungs und wiederverwertete kohlenstoffhaltige Kraftstoffe erzielten Treibhausgasemissionseinsparungen festgelegt ist,</w:t>
      </w:r>
    </w:p>
    <w:p>
      <w:pPr>
        <w:ind w:left="420"/>
      </w:pPr>
      <w:r>
        <w:t xml:space="preserve">29. „Stromdirektheizung“ ein Gerät zur direkten Erzeugung von Raumwärme durch Ausnutzung des elektrischen Widerstands auch in Verbindung mit Wärmespeichern,</w:t>
      </w:r>
    </w:p>
    <w:p>
      <w:pPr>
        <w:ind w:left="420"/>
      </w:pPr>
      <w:r>
        <w:t xml:space="preserve">29a. „System für die Gebäudeautomatisierung und -steuerung“ ein System, das sämtliche Produkte, Software und Engineering-Leistungen umfasst, mit denen ein energieeffizienter, wirtschaftlicher und sicherer Betrieb gebäudetechnischer Systeme durch automatische Steuerungen sowie durch die Erleichterung des manuellen Managements dieser gebäudetechnischen Systeme unterstützt werden kann,</w:t>
      </w:r>
    </w:p>
    <w:p>
      <w:pPr>
        <w:ind w:left="420"/>
      </w:pPr>
      <w:r>
        <w:t xml:space="preserve">29b. „türkiser Wasserstoff“ Wasserstoff, der über die Pyrolyse von Erdgas hergestellt wird und der in Bezug auf die Verringerung von Treibhausgasemissionen einen Mindestschwellenwert von 70 Prozent des Vergleichswerts für fossile Brennstoffe für erneuerbare Kraftstoffe nicht biogenen Ursprungs erreicht, welcher in der nach Artikel 29a Absatz 3 der Richtlinie (EU) 2018/2001 in der Fassung vom 13. Juni 2024 angenommenen Methode für die Bewertung der durch erneuerbare Kraftstoffe nicht biogenen Ursprungs und wiederverwertete kohlenstoffhaltige Kraftstoffe erzielten Treibhausgasemissionseinsparungen festgelegt ist,</w:t>
      </w:r>
    </w:p>
    <w:p>
      <w:pPr>
        <w:ind w:left="420"/>
      </w:pPr>
      <w:r>
        <w:t xml:space="preserve">30. „Umweltwärme“ die der Luft, dem Wasser oder der aus technischen Prozessen und baulichen Anlagen stammenden Abwasserströmen entnommene und technisch nutzbar gemachte Wärme oder Kälte mit Ausnahme der aus technischen Prozessen und baulichen Anlagen stammenden Abluftströmen entnommenen Wärme,</w:t>
      </w:r>
    </w:p>
    <w:p>
      <w:pPr>
        <w:ind w:left="420"/>
      </w:pPr>
      <w:r>
        <w:t xml:space="preserve">30a. „unvermeidbare Abwärme“ der Anteil der Wärme, der als Nebenprodukt in einer Industrie- oder Gewerbeanlage oder im tertiären Sektor aufgrund thermodynamischer Gesetzmäßigkeiten anfällt, nicht durch Anwendung des Standes der Technik vermieden werden kann, in einem Produktionsprozess nicht nutzbar ist und ohne den Zugang zu einem Wärmenetz ungenutzt in Luft oder Wasser abgeleitet werden würde,</w:t>
      </w:r>
    </w:p>
    <w:p>
      <w:pPr>
        <w:ind w:left="420"/>
      </w:pPr>
      <w:r>
        <w:t xml:space="preserve">31. „Wärme- und Kälteenergiebedarf“ die Summe aus</w:t>
      </w:r>
    </w:p>
    <w:p>
      <w:pPr>
        <w:ind w:left="780"/>
      </w:pPr>
      <w:r>
        <w:t xml:space="preserve">a) der zur Deckung des Wärmebedarfs für Heizung und Warmwasserbereitung jährlich benötigten Wärmemenge, einschließlich des thermischen Aufwands für Übergabe, Verteilung und Speicherung der Energiemenge und</w:t>
      </w:r>
    </w:p>
    <w:p>
      <w:pPr>
        <w:ind w:left="780"/>
      </w:pPr>
      <w:r>
        <w:t xml:space="preserve">b) der zur Deckung des Kältebedarfs für Raumkühlung jährlich benötigten Kältemenge, einschließlich des thermischen Aufwands für Übergabe, Verteilung und Speicherung der Energiemenge,</w:t>
      </w:r>
    </w:p>
    <w:p>
      <w:pPr>
        <w:ind w:left="420"/>
      </w:pPr>
      <w:r>
        <w:t xml:space="preserve">32. „Wohnfläche“ die Fläche, die nach der Wohnflächenverordnung vom 25. November 2003 (BGBl. I S. 2346) oder auf der Grundlage anderer Rechtsvorschriften oder anerkannter Regeln der Technik zur Berechnung von Wohnflächen ermittelt worden ist,</w:t>
      </w:r>
    </w:p>
    <w:p>
      <w:pPr>
        <w:ind w:left="420"/>
      </w:pPr>
      <w:r>
        <w:t xml:space="preserve">33. „Wohngebäude“ ein Gebäude, das nach seiner Zweckbestimmung überwiegend dem Wohnen dient, einschließlich von Wohn-, Alten- oder Pflegeheimen sowie ähnlicher Einrichtungen,</w:t>
      </w:r>
    </w:p>
    <w:p>
      <w:pPr>
        <w:ind w:left="420"/>
      </w:pPr>
      <w:r>
        <w:t xml:space="preserve">34. „zweiseitig angebautes Wohngebäude“ ein Wohngebäude, von dessen nach zwei unterschiedlichen Himmelsrichtungen weisenden vertikalen Flächen im Mittel ein Anteil von 80 Prozent oder mehr an ein anderes Wohngebäude oder ein Nichtwohngebäude mit einer Raum-Solltemperatur von mindestens 19 Grad Celsius angrenzt.</w:t>
      </w:r>
    </w:p>
    <w:p>
      <w:r>
        <w:t xml:space="preserve">(2) Erneuerbare Energien im Sinne dieses Gesetzes ist oder sind</w:t>
      </w:r>
    </w:p>
    <w:p>
      <w:pPr>
        <w:ind w:left="420"/>
      </w:pPr>
      <w:r>
        <w:t xml:space="preserve">1. Geothermie,</w:t>
      </w:r>
    </w:p>
    <w:p>
      <w:pPr>
        <w:ind w:left="420"/>
      </w:pPr>
      <w:r>
        <w:t xml:space="preserve">2. Umweltwärme,</w:t>
      </w:r>
    </w:p>
    <w:p>
      <w:pPr>
        <w:ind w:left="420"/>
      </w:pPr>
      <w:r>
        <w:t xml:space="preserve">3. die technisch durch im unmittelbaren räumlichen Zusammenhang mit dem Gebäude stehenden Anlagen zur Erzeugung von Strom aus solarer Strahlungsenergie oder durch solarthermische Anlagen zur Wärme- oder Kälteerzeugung nutzbar gemachte Energie,</w:t>
      </w:r>
    </w:p>
    <w:p>
      <w:pPr>
        <w:ind w:left="420"/>
      </w:pPr>
      <w:r>
        <w:t xml:space="preserve">4. die technisch durch gebäudeintegrierte Windkraftanlagen zur Wärme- oder Kälteerzeugung nutzbar gemachte Energie,</w:t>
      </w:r>
    </w:p>
    <w:p>
      <w:pPr>
        <w:ind w:left="420"/>
      </w:pPr>
      <w:r>
        <w:t xml:space="preserve">5. die aus fester, flüssiger oder gasförmiger Biomasse erzeugte Wärme; die Abgrenzung erfolgt nach dem Aggregatzustand zum Zeitpunkt des Eintritts der Biomasse in den Wärmeerzeuger,</w:t>
      </w:r>
    </w:p>
    <w:p>
      <w:pPr>
        <w:ind w:left="420"/>
      </w:pPr>
      <w:r>
        <w:t xml:space="preserve">6. die aus grünem Wasserstoff oder den daraus hergestellten Derivaten erzeugte Wärme oder</w:t>
      </w:r>
    </w:p>
    <w:p>
      <w:pPr>
        <w:ind w:left="420"/>
      </w:pPr>
      <w:r>
        <w:t xml:space="preserve">7. die dem Erdboden oder dem Wasser entnommene und technisch nutzbar gemachte oder aus Wärme nach den Nummern 1 bis 6 technisch nutzbar gemachte Kälte.</w:t>
      </w:r>
    </w:p>
    <w:p>
      <w:r>
        <w:t xml:space="preserve">(3) Biomasse im Sinne des Absatzes 1 Nummer 4a ist oder sind</w:t>
      </w:r>
    </w:p>
    <w:p>
      <w:pPr>
        <w:ind w:left="420"/>
      </w:pPr>
      <w:r>
        <w:t xml:space="preserve">1. Anbaubiomasse nach § 2 Absatz 24 der Biomassestrom-Nachhaltigkeitsverordnung,</w:t>
      </w:r>
    </w:p>
    <w:p>
      <w:pPr>
        <w:ind w:left="420"/>
      </w:pPr>
      <w:r>
        <w:t xml:space="preserve">2. Rohstoffe nach Anhang IX der Richtlinie (EU) 2018/2001,</w:t>
      </w:r>
    </w:p>
    <w:p>
      <w:pPr>
        <w:ind w:left="420"/>
      </w:pPr>
      <w:r>
        <w:t xml:space="preserve">3. sonstige Bioabfälle, die nicht in Anhang IX der Richtlinie (EU) 2018/2001 aufgeführt sind.</w:t>
      </w:r>
    </w:p>
    <w:p>
      <w:r>
        <w:t xml:space="preserve">Satz 1 ist jeweils mit der Maßgabe anzuwenden, dass</w:t>
      </w:r>
    </w:p>
    <w:p>
      <w:pPr>
        <w:ind w:left="420"/>
      </w:pPr>
      <w:r>
        <w:t xml:space="preserve">1. Biomasse aus Rohstoffen mit hohem Risiko indirekter Landnutzungsänderung nach Artikel 3 der Delegierten Verordnung (EU) 2019/807 ausgenommen ist,</w:t>
      </w:r>
    </w:p>
    <w:p>
      <w:pPr>
        <w:ind w:left="420"/>
      </w:pPr>
      <w:r>
        <w:t xml:space="preserve">2. die Nachhaltigkeitsanforderungen der Biomassestrom-Nachhaltigkeitsverordnung vom 2. Dezember 2021 (BGBl. I S. 5126), die zuletzt durch Artikel 1 der Verordnung vom 13. Dezember 2022 (BGBl. I S. 2286) geändert worden ist, in der jeweils geltenden Fassung entsprechend anzuwenden sind auf</w:t>
      </w:r>
    </w:p>
    <w:p>
      <w:pPr>
        <w:ind w:left="780"/>
      </w:pPr>
      <w:r>
        <w:t xml:space="preserve">a) flüssige Biomasse,</w:t>
      </w:r>
    </w:p>
    <w:p>
      <w:pPr>
        <w:ind w:left="780"/>
      </w:pPr>
      <w:r>
        <w:t xml:space="preserve">b) feste Biomasse in einer Anlage zur Erzeugung von Wärme oder Kälte mit einer Gesamtfeuerungswärmeleistung von 7,5 Megawatt oder mehr und</w:t>
      </w:r>
    </w:p>
    <w:p>
      <w:pPr>
        <w:ind w:left="780"/>
      </w:pPr>
      <w:r>
        <w:t xml:space="preserve">c) gasförmige Biomasse in einer Anlage zur Erzeugung von Wärme oder Kälte mit einer Gesamtfeuerungswärmeleistung von 2 Megawatt oder mehr.</w:t>
      </w:r>
    </w:p>
    <w:p>
      <w:r>
        <w:t xml:space="preserve">(4) Biomasse im Sinne des Absatzes 2 Nummer 5 ist oder sind</w:t>
      </w:r>
    </w:p>
    <w:p>
      <w:pPr>
        <w:ind w:left="420"/>
      </w:pPr>
      <w:r>
        <w:t xml:space="preserve">1. Biomasse im Sinne der Biomasseverordnung vom 21. Juni 2001 (BGBl. I S. 1234), die zuletzt durch Artikel 8 des Gesetzes vom 13. Oktober 2016 (BGBl. I S. 2258) geändert worden ist,</w:t>
      </w:r>
    </w:p>
    <w:p>
      <w:pPr>
        <w:ind w:left="420"/>
      </w:pPr>
      <w:r>
        <w:t xml:space="preserve">2. Altholz der Kategorien A I und A II nach § 2 Nummer 4 Buchstabe a und b der Altholzverordnung vom 15. August 2002 (BGBl. I S. 3302), die zuletzt durch Artikel 120 der Verordnung vom 19. Juni 2020 (BGBl. I S. 1328) geändert worden ist,</w:t>
      </w:r>
    </w:p>
    <w:p>
      <w:pPr>
        <w:ind w:left="420"/>
      </w:pPr>
      <w:r>
        <w:t xml:space="preserve">3. biologisch abbaubare Anteile von Abfällen aus Haushalten und Industrie,</w:t>
      </w:r>
    </w:p>
    <w:p>
      <w:pPr>
        <w:ind w:left="420"/>
      </w:pPr>
      <w:r>
        <w:t xml:space="preserve">4. Deponiegas,</w:t>
      </w:r>
    </w:p>
    <w:p>
      <w:pPr>
        <w:ind w:left="420"/>
      </w:pPr>
      <w:r>
        <w:t xml:space="preserve">5. Klärgas,</w:t>
      </w:r>
    </w:p>
    <w:p>
      <w:pPr>
        <w:ind w:left="420"/>
      </w:pPr>
      <w:r>
        <w:t xml:space="preserve">6. Klärschlamm im Sinne der Klärschlammverordnung vom 27. September 2017 (BGBl. I S. 3465), die zuletzt durch Artikel 137 der Verordnung vom 19. Juni 2020 (BGBl. I S. 1328) geändert worden ist, in der jeweils geltenden Fassung oder</w:t>
      </w:r>
    </w:p>
    <w:p>
      <w:pPr>
        <w:ind w:left="420"/>
      </w:pPr>
      <w:r>
        <w:t xml:space="preserve">7. Pflanzenölmethylester.</w:t>
      </w:r>
    </w:p>
    <w:p>
      <w:r>
        <w:t xml:space="preserve">Satz 1 ist jeweils mit der Maßgabe anzuwenden, dass</w:t>
      </w:r>
    </w:p>
    <w:p>
      <w:pPr>
        <w:ind w:left="420"/>
      </w:pPr>
      <w:r>
        <w:t xml:space="preserve">1. Biomasse aus Rohstoffen mit hohem Risiko indirekter Landnutzungsänderung nach Artikel 3 der Delegierten Verordnung (EU) 2019/807 ausgenommen ist,</w:t>
      </w:r>
    </w:p>
    <w:p>
      <w:pPr>
        <w:ind w:left="420"/>
      </w:pPr>
      <w:r>
        <w:t xml:space="preserve">2. die Nachhaltigkeitsanforderungen der Biomassestrom-Nachhaltigkeitsverordnung vom 2. Dezember 2021 (BGBl. I S. 5126) in der jeweils geltenden Fassung entsprechend anzuwenden sind auf</w:t>
      </w:r>
    </w:p>
    <w:p>
      <w:pPr>
        <w:ind w:left="780"/>
      </w:pPr>
      <w:r>
        <w:t xml:space="preserve">a) flüssige Biomasse,</w:t>
      </w:r>
    </w:p>
    <w:p>
      <w:pPr>
        <w:ind w:left="780"/>
      </w:pPr>
      <w:r>
        <w:t xml:space="preserve">b) feste Biomasse in einer Anlage zur Erzeugung von Wärme oder Kälte mit einer Gesamtfeuerungswärmeleistung von 7,5 Megawatt oder mehr und</w:t>
      </w:r>
    </w:p>
    <w:p>
      <w:pPr>
        <w:ind w:left="780"/>
      </w:pPr>
      <w:r>
        <w:t xml:space="preserve">c) gasförmige Biomasse in einer Anlage zur Erzeugung von Wärme oder Kälte mit einer Gesamtfeuerungswärmeleistung von 2 Megawatt oder mehr,</w:t>
      </w:r>
    </w:p>
    <w:p>
      <w:pPr>
        <w:ind w:left="420"/>
      </w:pPr>
      <w:r>
        <w:t xml:space="preserve">3. der zur Erzeugung der gasförmigen Biomasse in Vergärungsanlagen im Sinne des § 24 Absatz 1 Satz 1 und 2 des Erneuerbare-Energien-Gesetzes ab einer Leistung von 1 Megawatt, welche nach Ablauf des 31. Dezember 2023 in Betrieb genommen werden, eingesetzte Anteil von Getreidekorn oder Mais in jedem Kalenderjahr insgesamt höchstens 50 Masseprozent betragen darf; als Mais sind Ganzpflanzen, Maiskorn-Spindel-Gemisch, Körnermais und Lieschkolbenschrot anzusehen.</w:t>
      </w:r>
    </w:p>
    <w:p>
      <w:r>
        <w:t xml:space="preserve">* Amtlicher Hinweis: Alle zitierten DIN-Vornormen und -Normen sind im Beuth-Verlag GmbH, Berlin, veröffentlicht und beim Deutschen Patent- und Markenamt in München archivmäßig gesichert niedergelegt.</w:t>
      </w:r>
    </w:p>
    <w:p>
      <w:r>
        <w:t xml:space="preserve">* Zu beziehen bei der Beuth Verlag GmbH, 10772 Berlin, und in der Deutschen Nationalbibliothek archivmäßig gesichert niedergelegt.</w:t>
      </w:r>
    </w:p>
    <w:p>
      <w:r>
        <w:t xml:space="preserve">* Zu beziehen bei der Beuth Verlag GmbH, 10772 Berlin, und in der Deutschen Nationalbibliothek archivmäßig gesichert niedergelegt.</w:t>
      </w:r>
    </w:p>
    <w:p>
      <w:r>
        <w:rPr>
          <w:color w:val="555555"/>
          <w:sz w:val="17"/>
        </w:rPr>
        <w:t xml:space="preserve">Zitiervorschlag: § 3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