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GEG — Berechnung des Jahres-Primärenergiebedarfs und des Transmissionswärmeverlustes bei aneinandergereihter Bebauung von Wohngebäuden</w:t>
      </w:r>
    </w:p>
    <w:p>
      <w:r>
        <w:rPr>
          <w:color w:val="555555"/>
          <w:sz w:val="18"/>
        </w:rPr>
        <w:t xml:space="preserve">Gebäudemodernisierungsgesetz</w:t>
      </w:r>
    </w:p>
    <w:p>
      <w:r>
        <w:rPr>
          <w:color w:val="555555"/>
          <w:sz w:val="18"/>
        </w:rPr>
        <w:t xml:space="preserve">Stand: 06.11.2020 (konsolidierte Textfassung, kein amtliches Inkrafttretensdatum)</w:t>
      </w:r>
    </w:p>
    <w:p>
      <w:r>
        <w:t xml:space="preserve">(1) Bei der Berechnung des Jahres-Primärenergiebedarfs nach § 20 und des Transmissionswärmeverlustes von aneinandergereihten Wohngebäuden werden Gebäudetrennwände zwischen</w:t>
      </w:r>
    </w:p>
    <w:p>
      <w:pPr>
        <w:ind w:left="420"/>
      </w:pPr>
      <w:r>
        <w:t xml:space="preserve">1. Gebäuden, die nach ihrem Verwendungszweck auf Innentemperaturen von mindestens 19 Grad Celsius beheizt werden, als nicht wärmedurchlässig angenommen und bei der Ermittlung der wärmeübertragenden Umfassungsfläche nicht berücksichtigt,</w:t>
      </w:r>
    </w:p>
    <w:p>
      <w:pPr>
        <w:ind w:left="420"/>
      </w:pPr>
      <w:r>
        <w:t xml:space="preserve">2. Wohngebäuden und Gebäuden, die nach ihrem Verwendungszweck auf Innentemperaturen von mindestens 12 Grad Celsius und weniger als 19 Grad Celsius beheizt werden, bei der Berechnung des Wärmedurchgangskoeffizienten mit einem Temperatur-Korrekturfaktor nach DIN V 18599-2: 2018-09 oder bis zum 31. Dezember 2023 auch nach DIN V 4108-6: 2003-06, geändert durch DIN V 4108-6 Berichtigung 1: 2004-03, gewichtet und</w:t>
      </w:r>
    </w:p>
    <w:p>
      <w:pPr>
        <w:ind w:left="420"/>
      </w:pPr>
      <w:r>
        <w:t xml:space="preserve">3. Wohngebäuden und Gebäuden oder Gebäudeteilen, in denen keine beheizten Räume im Sinne des § 3 Absatz 1 Nummer 4 vorhanden sind, bei der Berechnung des Wärmedurchgangskoeffizienten mit einem Temperaturfaktor in Höhe von 0,5 gewichtet.</w:t>
      </w:r>
    </w:p>
    <w:p>
      <w:r>
        <w:t xml:space="preserve">(2) Werden beheizte Teile eines Gebäudes getrennt berechnet, ist Absatz 1 Nummer 1 sinngemäß für die Trennflächen zwischen den Gebäudeteilen anzuwenden.</w:t>
      </w:r>
    </w:p>
    <w:p>
      <w:r>
        <w:rPr>
          <w:color w:val="555555"/>
          <w:sz w:val="17"/>
        </w:rPr>
        <w:t xml:space="preserve">Zitiervorschlag: § 29 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