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GEG — Anrechnung mechanisch betriebener Lüftungsanlagen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Im Rahmen der Berechnung nach § 20 Absatz 1 oder Absatz 2 ist bei mechanischen Lüftungsanlagen die Anrechnung der Wärmerückgewinnung oder einer regelungstechnisch verminderten Luftwechselrate nur zulässig, wenn</w:t>
      </w:r>
    </w:p>
    <w:p>
      <w:pPr>
        <w:ind w:left="420"/>
      </w:pPr>
      <w:r>
        <w:t xml:space="preserve">1. die Dichtheit des Gebäudes nach § 13 in Verbindung mit § 26 nachgewiesen wird,</w:t>
      </w:r>
    </w:p>
    <w:p>
      <w:pPr>
        <w:ind w:left="420"/>
      </w:pPr>
      <w:r>
        <w:t xml:space="preserve">2. die Lüftungsanlage mit Einrichtungen ausgestattet ist, die eine Beeinflussung der Luftvolumenströme jeder Nutzeinheit durch den Nutzer erlauben und</w:t>
      </w:r>
    </w:p>
    <w:p>
      <w:pPr>
        <w:ind w:left="420"/>
      </w:pPr>
      <w:r>
        <w:t xml:space="preserve">3. sichergestellt ist, dass die aus der Abluft gewonnene Wärme vorrangig vor der vom Heizsystem bereitgestellten Wärme genutzt wird.</w:t>
      </w:r>
    </w:p>
    <w:p>
      <w:r>
        <w:t xml:space="preserve">(2) Die bei der Anrechnung der Wärmerückgewinnung anzusetzenden Kennwerte der Lüftungsanlage sind nach den anerkannten Regeln der Technik zu bestimmen oder den allgemeinen bauaufsichtlichen Zulassungen der verwendeten Produkte zu entnehmen.</w:t>
      </w:r>
    </w:p>
    <w:p>
      <w:r>
        <w:t xml:space="preserve">(3) Auf ein Wohngebäude mit nicht mehr als zwei Wohnungen, von denen eine nicht mehr als 50 Quadratmeter Gebäudenutzfläche hat, ist Absatz 1 Nummer 2 nicht anzuwenden.</w:t>
      </w:r>
    </w:p>
    <w:p>
      <w:r>
        <w:rPr>
          <w:color w:val="555555"/>
          <w:sz w:val="17"/>
        </w:rPr>
        <w:t xml:space="preserve">Zitiervorschlag: § 28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