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GEG — Prüfung der Dichtheit eines Gebäudes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Wird die Luftdichtheit eines zu errichtenden Gebäudes vor seiner Fertigstellung nach DIN EN ISO 9972: 2018-12 Anhang NA überprüft, darf die gemessene Netto-Luftwechselrate bei der Ermittlung des Jahres-Primärenergiebedarfs nach § 20 Absatz 1 oder Absatz 2 und nach § 21 Absatz 1 und 2 nach Maßgabe der Absätze 2 bis 5 als Luftwechselrate in Ansatz gebracht werden. Bei der Überprüfung der Luftdichtheit sind die Messungen nach den Absätzen 2 bis 5 sowohl mit Über- als auch mit Unterdruck durchzuführen. Die genannten Höchstwerte sind für beide Fälle einzuhalten.</w:t>
      </w:r>
    </w:p>
    <w:p>
      <w:r>
        <w:t xml:space="preserve">(2) Der bei einer Bezugsdruckdifferenz von 50 Pascal gemessene Volumenstrom in Kubikmeter pro Stunde darf</w:t>
      </w:r>
    </w:p>
    <w:p>
      <w:pPr>
        <w:ind w:left="420"/>
      </w:pPr>
      <w:r>
        <w:t xml:space="preserve">1. ohne raumlufttechnische Anlagen höchstens das 3fache des beheizten oder gekühlten Luftvolumens des Gebäudes in Kubikmetern betragen und</w:t>
      </w:r>
    </w:p>
    <w:p>
      <w:pPr>
        <w:ind w:left="420"/>
      </w:pPr>
      <w:r>
        <w:t xml:space="preserve">2. mit raumlufttechnischen Anlagen höchstens das 1,5fache des beheizten oder gekühlten Luftvolumens des Gebäudes in Kubikmetern betragen.</w:t>
      </w:r>
    </w:p>
    <w:p>
      <w:r>
        <w:t xml:space="preserve">(3) Abweichend von Absatz 2 darf bei Gebäuden mit einem beheizten oder gekühlten Luftvolumen von über 1 500 Kubikmetern der bei einer Bezugsdruckdifferenz von 50 Pascal gemessene Volumenstrom in Kubikmeter pro Stunde</w:t>
      </w:r>
    </w:p>
    <w:p>
      <w:pPr>
        <w:ind w:left="420"/>
      </w:pPr>
      <w:r>
        <w:t xml:space="preserve">1. ohne raumlufttechnische Anlagen höchstens das 4,5fache der Hüllfläche des Gebäudes in Quadratmetern betragen und</w:t>
      </w:r>
    </w:p>
    <w:p>
      <w:pPr>
        <w:ind w:left="420"/>
      </w:pPr>
      <w:r>
        <w:t xml:space="preserve">2. mit raumlufttechnischen Anlagen höchstens das 2,5fache der Hüllfläche des Gebäudes in Quadratmetern betragen.</w:t>
      </w:r>
    </w:p>
    <w:p>
      <w:r>
        <w:t xml:space="preserve">(4) Wird bei Nichtwohngebäuden die Dichtheit lediglich für bestimmte Zonen berücksichtigt oder ergeben sich für einzelne Zonen aus den Absätzen 2 und 3 unterschiedliche Anforderungen, so kann der Nachweis der Dichtheit für diese Zonen getrennt durchgeführt werden.</w:t>
      </w:r>
    </w:p>
    <w:p>
      <w:r>
        <w:t xml:space="preserve">(5) Besteht ein Gebäude aus gleichartigen, nur von außen erschlossenen Nutzeinheiten, so darf die Messung nach Absatz 1 nach Maßgabe von DIN EN ISO 9972: 2018-12 Anhang NB auf eine Stichprobe dieser Nutzeinheiten begrenzt werden.</w:t>
      </w:r>
    </w:p>
    <w:p>
      <w:r>
        <w:rPr>
          <w:color w:val="555555"/>
          <w:sz w:val="17"/>
        </w:rPr>
        <w:t xml:space="preserve">Zitiervorschlag: § 26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