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GEG — Berechnungsrandbedingungen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(1) Bei den Berechnungen für die Ermittlung des Jahres-Primärenergiebedarfs nach § 20 Absatz 1 oder Absatz 2 und nach § 21 Absatz 1 und 2 ist für das zu errichtende Gebäude eine Ausstattung mit einem System für die Gebäudeautomation der Klasse C nach DIN V 18599-11: 2018-09 zugrunde zu legen. Eine Gebäudeautomation der Klassen A oder B nach DIN V 18599-11: 2018-09 kann zugrunde gelegt werden, wenn das zu errichtende Gebäude mit einem System einer dieser Klassen ausgestattet ist.</w:t>
      </w:r>
    </w:p>
    <w:p>
      <w:r>
        <w:t xml:space="preserve">(2) Bei den Berechnungen für die Ermittlung des Jahres-Primärenergiebedarfs nach § 20 Absatz 1 oder Absatz 2 und nach § 21 Absatz 1 und 2 ist für das zu errichtende Gebäude und das Referenzgebäude ein Verschattungsfaktor von 0,9 zugrunde zu legen, soweit die baulichen Bedingungen nicht detailliert berücksichtigt werden.</w:t>
      </w:r>
    </w:p>
    <w:p>
      <w:r>
        <w:t xml:space="preserve">(3) Bei den Berechnungen für die Ermittlung des Jahres-Primärenergiebedarfs nach § 20 Absatz 1 sind für den Anteil mitbeheizter Flächen für das zu errichtende Wohngebäude und das Referenzgebäude die Standardwerte nach DIN V 18599: 2018-09 Tabelle 4 zu verwenden.</w:t>
      </w:r>
    </w:p>
    <w:p>
      <w:r>
        <w:t xml:space="preserve">(4) Bei den Berechnungen für die Ermittlung des Jahres-Primärenergiebedarfs nach § 21 Absatz 1 und 2 sind für das zu errichtende Nichtwohngebäude die in DIN V 18599-10: 2018-09 Tabelle 5 bis 9 aufgeführten Nutzungsrandbedingungen und Klimadaten zu verwenden; bei der Berechnung des Referenzgebäudes müssen die in DIN V 18599-10: 2018-09 Tabelle 5 enthaltenen Werte angesetzt werden.</w:t>
      </w:r>
    </w:p>
    <w:p>
      <w:r>
        <w:t xml:space="preserve">(5) Bei den Berechnungen für die Ermittlung des Jahres-Primärenergiebedarfs nach § 21 Absatz 1 und 2 sind für das zu errichtende Nichtwohngebäude und das Referenzgebäude bei Heizsystemen in Raumhöhen von 4 Metern oder weniger ein Absenkbetrieb gemäß DIN V 18599-2: 2018-09 Gleichung 29 und bei Heizsystemen in Raumhöhen von mehr als 4 Metern ein Abschaltbetrieb gemäß DIN V 18599-2: 2018-09 Gleichung 30 zugrunde zu legen, jeweils mit einer Dauer gemäß den Nutzungsrandbedingungen in DIN V 18599-10: 2018-09 Tabelle 5.</w:t>
      </w:r>
    </w:p>
    <w:p>
      <w:r>
        <w:t xml:space="preserve">(6) Bei den Berechnungen für die Ermittlung des Jahres-Primärenergiebedarfs nach § 21 Absatz 1 und 2 ist für das zu errichtende Nichtwohngebäude und das Referenzgebäude ein Verbauungsindex von 0,9 zugrunde zu legen, soweit die Verbauung nicht genau nach DIN V 18599-4: 2018-09 Abschnitt 5.5.2 ermittelt wird.</w:t>
      </w:r>
    </w:p>
    <w:p>
      <w:r>
        <w:t xml:space="preserve">(7) Bei den Berechnungen für die Ermittlung des Jahres-Primärenergiebedarfs nach § 21 Absatz 1 und 2 ist für das zu errichtende Nichtwohngebäude und das Referenzgebäude der Wartungsfaktor in den Zonen der Nutzungen 14, 15 und 22 nach DIN V 18599-10: 2018-09 Tabelle 5 mit 0,6 und im Übrigen mit 0,8 anzusetzen.</w:t>
      </w:r>
    </w:p>
    <w:p>
      <w:r>
        <w:t xml:space="preserve">(8) Bei den Berechnungen für die Ermittlung des Jahres-Primärenergiebedarfs nach § 21 Absatz 1 und 2 darf abweichend von DIN V 18599-10: 2018-09 für das zu errichtende Nichtwohngebäude und das Referenzgebäude bei Zonen der DIN V 18599-10: 2018-09 Tabelle 5 Nutzung 6 und 7 die tatsächliche Beleuchtungsstärke angesetzt werden, jedoch bei Zonen der Nutzung 6 nicht mehr als 1 500 Lux und bei Zonen der Nutzung 7 nicht mehr als 1 000 Lux. Beim Referenzgebäude ist der Primärenergiebedarf für die Beleuchtung mit dem Tabellenverfahren nach DIN V 18599-4: 2018-09 zu berechnen.</w:t>
      </w:r>
    </w:p>
    <w:p>
      <w:r>
        <w:t xml:space="preserve">(9) Für die Ermittlung des Höchstwerts des Transmissionswärmeverlusts nach § 16 ist die wärmeübertragende Umfassungsfläche eines Wohngebäudes in Quadratmetern nach den in DIN V 18599-1: 2018-09 Abschnitt 8 angegebenen Bemaßungsregeln so festzulegen, dass sie mindestens alle beheizten und gekühlten Räume einschließt. Für alle umschlossenen Räume sind dabei die gleichen Bedingungen anzunehmen, die bei der Berechnung nach § 20 Absatz 1 oder Absatz 2 in Verbindung mit § 20 Absatz 3 und 4, § 22 und den Absätzen 1 bis 3 zugrunde zu legen sind.</w:t>
      </w:r>
    </w:p>
    <w:p>
      <w:r>
        <w:t xml:space="preserve">(10) Das beheizte Gebäudevolumen eines Wohngebäudes in Kubikmetern ist das Volumen, das von der nach Absatz 9 ermittelten wärmeübertragenden Umfassungsfläche umschlossen wird. Die Gebäudenutzfläche eines Wohngebäudes ist nach DIN V 18599-1: 2018-09 Gleichung 30 zu ermitteln. Abweichend von Satz 1 ist die Gebäudenutzfläche nach DIN V 18599-1: 2018-09 Gleichung 31 zu ermitteln, wenn die durchschnittliche Geschosshöhe eines Wohngebäudes, gemessen von der Oberfläche des Fußbodens zur Oberfläche des Fußbodens des darüber liegenden Geschosses, mehr als 3 Meter oder weniger als 2,5 Meter beträgt.</w:t>
      </w:r>
    </w:p>
    <w:p>
      <w:r>
        <w:t xml:space="preserve">(11) Abweichend von DIN V 18599-10: 2018-09 sind die Zonen nach DIN V 18599-10: 2018-09 Tabelle 5 Nutzung 32 und 33 als unbeheizt und ungekühlt anzunehmen und damit nicht Gegenstand von Berechnungen und Anforderungen nach diesem Gesetz.</w:t>
      </w:r>
    </w:p>
    <w:p>
      <w:r>
        <w:rPr>
          <w:color w:val="555555"/>
          <w:sz w:val="17"/>
        </w:rPr>
        <w:t xml:space="preserve">Zitiervorschlag: § 25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