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GEG — Anrechnung von Strom aus erneuerbaren Energien</w:t>
      </w:r>
    </w:p>
    <w:p>
      <w:r>
        <w:rPr>
          <w:color w:val="555555"/>
          <w:sz w:val="18"/>
        </w:rPr>
        <w:t xml:space="preserve">Gebäudemodernisierungsgesetz</w:t>
      </w:r>
    </w:p>
    <w:p>
      <w:r>
        <w:rPr>
          <w:color w:val="555555"/>
          <w:sz w:val="18"/>
        </w:rPr>
        <w:t xml:space="preserve">Stand: 01.01.2023 (konsolidierte Textfassung, kein amtliches Inkrafttretensdatum)</w:t>
      </w:r>
    </w:p>
    <w:p>
      <w:r>
        <w:t xml:space="preserve">(1) Strom aus erneuerbaren Energien, der im unmittelbaren räumlichen Zusammenhang zu einem zu errichtenden Gebäude erzeugt wird, darf bei der Ermittlung des Jahres-Primärenergiebedarfs des zu errichtenden Gebäudes nach § 20 Absatz 1 oder Absatz 2 und nach § 21 Absatz 1 und 2 nach Maßgabe des Absatzes 2 in Abzug gebracht werden.</w:t>
      </w:r>
    </w:p>
    <w:p>
      <w:r>
        <w:t xml:space="preserve">(2) Zur Berechnung der abzugsfähigen Strommenge nach Absatz 1 ist der monatliche Ertrag der Anlage zur Erzeugung von Strom aus erneuerbaren Energien dem Strombedarf für Heizung, Warmwasserbereitung, Lüftung, Kühlung und Hilfsenergien sowie bei Nichtwohngebäuden zusätzlich für Beleuchtung gegenüberzustellen. Der monatliche Ertrag ist nach DIN V 18599-9: 2018-09 zu bestimmen. Bei Anlagen zur Erzeugung von Strom aus solarer Strahlungsenergie sind die monatlichen Stromerträge unter Verwendung der mittleren monatlichen Strahlungsintensitäten der Referenzklimazone Potsdam nach DIN V 18599-10: 2018-09 Anhang E sowie der Standardwerte zur Ermittlung der Nennleistung des Photovoltaikmoduls nach DIN V 18599-9: 2018-09 Anhang B zu ermitteln.</w:t>
      </w:r>
    </w:p>
    <w:p>
      <w:r>
        <w:rPr>
          <w:color w:val="555555"/>
          <w:sz w:val="17"/>
        </w:rPr>
        <w:t xml:space="preserve">Zitiervorschlag: § 23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