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GEG — Berechnung des Jahres-Primärenergiebedarfs eines Nichtwohngebäudes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Für das zu errichtende Nichtwohngebäude und das Referenzgebäude ist der Jahres-Primärenergiebedarf nach DIN V 18599: 2018-09 zu ermitteln.</w:t>
      </w:r>
    </w:p>
    <w:p>
      <w:r>
        <w:t xml:space="preserve">(2) Soweit sich bei einem Nichtwohngebäude Flächen hinsichtlich ihrer Nutzung, ihrer technischen Ausstattung, ihrer inneren Lasten oder ihrer Versorgung mit Tageslicht wesentlich unterscheiden, ist das Gebäude nach Maßgabe der DIN V 18599: 2018-09 in Verbindung mit § 18 Absatz 3 für die Berechnung nach Absatz 1 in Zonen zu unterteilen. Die Vereinfachungen zur Zonierung, zur pauschalierten Zuweisung der Eigenschaften der Hüllfläche und zur Ermittlung von tageslichtversorgten Bereichen gemäß DIN V 18599-1: 2018-09 Anhang D dürfen nach Maßgabe der dort angegebenen Bedingungen auch für zu errichtende Nichtwohngebäude verwendet werden.</w:t>
      </w:r>
    </w:p>
    <w:p>
      <w:r>
        <w:t xml:space="preserve">(3) Für Nutzungen, die nicht in DIN V 18599-10: 2018-09 aufgeführt sind, kann</w:t>
      </w:r>
    </w:p>
    <w:p>
      <w:pPr>
        <w:ind w:left="420"/>
      </w:pPr>
      <w:r>
        <w:t xml:space="preserve">1. die Nutzung 17 der Tabelle 5 in DIN V 18599-10: 2018-09 verwendet werden oder</w:t>
      </w:r>
    </w:p>
    <w:p>
      <w:pPr>
        <w:ind w:left="420"/>
      </w:pPr>
      <w:r>
        <w:t xml:space="preserve">2. eine Nutzung auf der Grundlage der DIN V 18599-10: 2018-09 unter Anwendung gesicherten allgemeinen Wissensstandes individuell bestimmt und verwendet werden.</w:t>
      </w:r>
    </w:p>
    <w:p>
      <w:r>
        <w:t xml:space="preserve">Steht bei der Errichtung eines Nichtwohngebäudes die Nutzung einer Zone noch nicht fest, ist nach Satz 1 Nummer 1 zu verfahren. In den Fällen des Satzes 1 Nummer 2 ist die individuell bestimmte Nutzung zu begründen und den Berechnungen beizufügen. Wird bei der Errichtung eines Nichtwohngebäudes in einer Zone keine Beleuchtungsanlage eingebaut, ist eine direkt-indirekte Beleuchtung mit stabförmigen Leuchtstofflampen mit einem Durchmesser von 16 Millimetern und mit einem elektronischen Vorschaltgerät anzunehmen.</w:t>
      </w:r>
    </w:p>
    <w:p>
      <w:r>
        <w:t xml:space="preserve">(4) § 20 Absatz 3 bis 6 ist entsprechend anzuwenden.</w:t>
      </w:r>
    </w:p>
    <w:p>
      <w:r>
        <w:rPr>
          <w:color w:val="555555"/>
          <w:sz w:val="17"/>
        </w:rPr>
        <w:t xml:space="preserve">Zitiervorschlag: § 21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