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GEG — Berechnung des Jahres-Primärenergiebedarfs eines Wohngebäudes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Für das zu errichtende Wohngebäude und das Referenzgebäude ist der Jahres-Primärenergiebedarf nach DIN V 18599: 2018-09 zu ermitteln.</w:t>
      </w:r>
    </w:p>
    <w:p>
      <w:r>
        <w:t xml:space="preserve">(2) Bis zum 31. Dezember 2023 kann für das zu errichtende Wohngebäude und das Referenzgebäude der Jahres-Primärenergiebedarf auch nach DIN V 4108-6: 2003-06, geändert durch DIN V 4108-6 Berichtigung 1: 2004-03, in Verbindung mit DIN V 4701-10: 2003-08 ermittelt werden, wenn das Gebäude nicht gekühlt wird. Der in diesem Rechengang zu bestimmende Jahres-Heizwärmebedarf ist nach dem Monatsbilanzverfahren nach DIN V 4108-6: 2003-06, geändert durch DIN V 4108-6 Berichtigung 1: 2004-03, mit den dort in Anhang D.3 genannten Randbedingungen zu ermitteln. Als Referenzklima ist abweichend von DIN V 4108-6: 2003-06, geändert durch DIN V 4108-6 Berichtigung 1: 2004-03, das Klima nach DIN V 18599-10: 2018-09 Anhang E zu verwenden. Der Nutzwärmebedarf für die Warmwasserbereitung nach DIN V 4701-10: 2003-08 ist mit 12,5 Kilowattstunden je Quadratmeter Gebäudenutzfläche und Jahr anzusetzen. Zur Berücksichtigung von Lüftungsanlagen mit Wärmerückgewinnung sind die methodischen Hinweise in DIN V 4701-10: 2003-08 Abschnitt 4.1 zu beachten.</w:t>
      </w:r>
    </w:p>
    <w:p>
      <w:r>
        <w:t xml:space="preserve">(3) Die Berechnungen sind für das zu errichtende Gebäude und das Referenzgebäude mit demselben Verfahren durchzuführen.</w:t>
      </w:r>
    </w:p>
    <w:p>
      <w:r>
        <w:t xml:space="preserve">(4) Abweichend von DIN V 18599-1: 2018-09 sind bei der Berechnung des Endenergiebedarfs diejenigen Anteile nicht zu berücksichtigen, die durch in unmittelbarem räumlichen Zusammenhang zum Gebäude gewonnene solare Strahlungsenergie sowie Umweltwärme gedeckt werden.</w:t>
      </w:r>
    </w:p>
    <w:p>
      <w:r>
        <w:t xml:space="preserve">(5) Abweichend von DIN V 18599-1: 2018-09 ist bei der Berechnung des Primärenergiebedarfs der Endenergiebedarf für elektrische Nutzeranwendungen in der Bilanzierung nicht zu berücksichtigen.</w:t>
      </w:r>
    </w:p>
    <w:p>
      <w:r>
        <w:t xml:space="preserve">(6) Werden in den Berechnungen nach den Absätzen 1 und 2 Wärmedurchgangskoeffizienten berechnet, sind folgende Berechnungsverfahren anzuwenden:</w:t>
      </w:r>
    </w:p>
    <w:p>
      <w:pPr>
        <w:ind w:left="420"/>
      </w:pPr>
      <w:r>
        <w:t xml:space="preserve">1. DIN V 18599-2: 2018-09 Abschnitt 6.1.4.3 für die Berechnung der an Erdreich grenzenden Bauteile,</w:t>
      </w:r>
    </w:p>
    <w:p>
      <w:pPr>
        <w:ind w:left="420"/>
      </w:pPr>
      <w:r>
        <w:t xml:space="preserve">2. DIN 4108-4: 2017-03 in Verbindung mit DIN EN ISO 6946: 2008-04 für die Berechnung opaker Bauteile und</w:t>
      </w:r>
    </w:p>
    <w:p>
      <w:pPr>
        <w:ind w:left="420"/>
      </w:pPr>
      <w:r>
        <w:t xml:space="preserve">3. DIN 4108-4: 2017-03 für die Berechnung transparenter Bauteile sowie von Vorhangfassaden.</w:t>
      </w:r>
    </w:p>
    <w:p>
      <w:r>
        <w:rPr>
          <w:color w:val="555555"/>
          <w:sz w:val="17"/>
        </w:rPr>
        <w:t xml:space="preserve">Zitiervorschlag: § 20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