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GEG — Gesamtenergiebedarf</w:t>
      </w:r>
    </w:p>
    <w:p>
      <w:r>
        <w:rPr>
          <w:color w:val="555555"/>
          <w:sz w:val="18"/>
        </w:rPr>
        <w:t xml:space="preserve">Gebäudemodernisierungsgesetz</w:t>
      </w:r>
    </w:p>
    <w:p>
      <w:r>
        <w:rPr>
          <w:color w:val="555555"/>
          <w:sz w:val="18"/>
        </w:rPr>
        <w:t xml:space="preserve">Stand: 01.01.2023 (konsolidierte Textfassung, kein amtliches Inkrafttretensdatum)</w:t>
      </w:r>
    </w:p>
    <w:p>
      <w:r>
        <w:t xml:space="preserve">(1) Ein zu errichtendes Nichtwohngebäude ist so zu errichten, dass der Jahres-Primärenergiebedarf für Heizung, Warmwasserbereitung, Lüftung, Kühlung und eingebaute Beleuchtung das 0,55fache des auf die Nettogrundfläche bezogenen Wertes des Jahres-Primärenergiebedarfs eines Referenzgebäudes, das die gleiche Geometrie, Nettogrundfläche, Ausrichtung und Nutzung, einschließlich der Anordnung der Nutzungseinheiten, wie das zu errichtende Gebäude aufweist und der technischen Referenzausführung der Anlage 2 entspricht, nicht überschreitet. Die technische Referenzausführung in der Anlage 2 Nummer 1.13 bis 9 ist nur insoweit zu berücksichtigen, wie eines der dort genannten Systeme in dem zu errichtenden Gebäude ausgeführt wird.</w:t>
      </w:r>
    </w:p>
    <w:p>
      <w:r>
        <w:t xml:space="preserve">(2) Der Höchstwert des Jahres-Primärenergiebedarfs nach Absatz 1 eines zu errichtenden Nichtwohngebäudes ist nach Maßgabe der §§ 21 bis 24, des § 25 Absatz 1, 2 und 4 bis 8, der §§ 26 und 27, des § 30 und der §§ 32 und 33 zu berechnen.</w:t>
      </w:r>
    </w:p>
    <w:p>
      <w:r>
        <w:t xml:space="preserve">(3) Wird ein zu errichtendes Nichtwohngebäude für die Berechnung des Jahres-Primärenergiebedarfs nach unterschiedlichen Nutzungen unterteilt und kommt für die unterschiedlichen Nutzungen jeweils das Berechnungsverfahren nach § 21 Absatz 1 und 2 mit deren jeweiligen Randbedingungen zur Anwendung, muss die Unterteilung hinsichtlich der Nutzung sowie der verwendeten Berechnungsverfahren und Randbedingungen beim Referenzgebäude mit der des zu errichtenden Gebäudes übereinstimmen. Bei der Unterteilung hinsichtlich der anlagentechnischen Ausstattung und der Tageslichtversorgung sind Unterschiede zulässig, die durch die technische Ausführung des zu errichtenden Gebäudes bedingt sind.</w:t>
      </w:r>
    </w:p>
    <w:p>
      <w:r>
        <w:rPr>
          <w:color w:val="555555"/>
          <w:sz w:val="17"/>
        </w:rPr>
        <w:t xml:space="preserve">Zitiervorschlag: § 18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