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GEG — Aneinandergereihte Bebauung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06.11.2020 (konsolidierte Textfassung, kein amtliches Inkrafttretensdatum)</w:t>
      </w:r>
    </w:p>
    <w:p>
      <w:r>
        <w:t xml:space="preserve">Werden aneinandergereihte Wohngebäude gleichzeitig errichtet, dürfen sie hinsichtlich der Anforderungen der §§ 12, 14, 15 und 16 wie ein Gebäude behandelt werden. Die Vorschriften des Teiles 5 bleiben unberührt.</w:t>
      </w:r>
    </w:p>
    <w:p>
      <w:r>
        <w:rPr>
          <w:color w:val="555555"/>
          <w:sz w:val="17"/>
        </w:rPr>
        <w:t xml:space="preserve">Zitiervorschlag: § 17 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