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GEG — Gesamtenergiebedarf</w:t>
      </w:r>
    </w:p>
    <w:p>
      <w:r>
        <w:rPr>
          <w:color w:val="555555"/>
          <w:sz w:val="18"/>
        </w:rPr>
        <w:t xml:space="preserve">Gebäudemodernisierungsgesetz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(1) Ein zu errichtendes Wohngebäude ist so zu errichten, dass der Jahres-Primärenergiebedarf für Heizung, Warmwasserbereitung, Lüftung und Kühlung das 0,55fache des auf die Gebäudenutzfläche bezogenen Wertes des Jahres-Primärenergiebedarfs eines Referenzgebäudes, das die gleiche Geometrie, Gebäudenutzfläche und Ausrichtung wie das zu errichtende Gebäude aufweist und der technischen Referenzausführung der Anlage 1 entspricht, nicht überschreitet.</w:t>
      </w:r>
    </w:p>
    <w:p>
      <w:r>
        <w:t xml:space="preserve">(2) Der Höchstwert des Jahres-Primärenergiebedarfs eines zu errichtenden Wohngebäudes nach Absatz 1 ist nach Maßgabe des § 20, der §§ 22 bis 24, des § 25 Absatz 1 bis 3 und 10, der §§ 26 bis 29, des § 31 und des § 33 zu berechnen.</w:t>
      </w:r>
    </w:p>
    <w:p>
      <w:r>
        <w:rPr>
          <w:color w:val="555555"/>
          <w:sz w:val="17"/>
        </w:rPr>
        <w:t xml:space="preserve">Zitiervorschlag: § 15 GEG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https://recht.nulegal.eu/gesetze/GEG/15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