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GEG — Dichtheit</w:t>
      </w:r>
    </w:p>
    <w:p>
      <w:r>
        <w:rPr>
          <w:color w:val="555555"/>
          <w:sz w:val="18"/>
        </w:rPr>
        <w:t xml:space="preserve">Gebäudemodernisierungsgesetz</w:t>
      </w:r>
    </w:p>
    <w:p>
      <w:r>
        <w:rPr>
          <w:color w:val="555555"/>
          <w:sz w:val="18"/>
        </w:rPr>
        <w:t xml:space="preserve">Stand: 06.11.2020 (konsolidierte Textfassung, kein amtliches Inkrafttretensdatum)</w:t>
      </w:r>
    </w:p>
    <w:p>
      <w:r>
        <w:t xml:space="preserve">Ein Gebäude ist so zu errichten, dass die wärmeübertragende Umfassungsfläche einschließlich der Fugen dauerhaft luftundurchlässig nach den anerkannten Regeln der Technik abgedichtet ist. Öffentlich-rechtliche Vorschriften über den zum Zweck der Gesundheit und Beheizung erforderlichen Mindestluftwechsel bleiben unberührt.</w:t>
      </w:r>
    </w:p>
    <w:p>
      <w:r>
        <w:rPr>
          <w:color w:val="555555"/>
          <w:sz w:val="17"/>
        </w:rPr>
        <w:t xml:space="preserve">Zitiervorschlag: § 13 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https://recht.nulegal.eu/gesetze/GEG/13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