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GEG — Wärmebrücken</w:t>
      </w:r>
    </w:p>
    <w:p>
      <w:r>
        <w:rPr>
          <w:color w:val="555555"/>
          <w:sz w:val="18"/>
        </w:rPr>
        <w:t xml:space="preserve">Gebäudemodernisierungsgesetz</w:t>
      </w:r>
    </w:p>
    <w:p>
      <w:r>
        <w:rPr>
          <w:color w:val="555555"/>
          <w:sz w:val="18"/>
        </w:rPr>
        <w:t xml:space="preserve">Stand: 06.11.2020 (konsolidierte Textfassung, kein amtliches Inkrafttretensdatum)</w:t>
      </w:r>
    </w:p>
    <w:p>
      <w:r>
        <w:t xml:space="preserve">Ein Gebäude ist so zu errichten, dass der Einfluss konstruktiver Wärmebrücken auf den Jahres-Heizwärmebedarf nach den anerkannten Regeln der Technik und nach den im jeweiligen Einzelfall wirtschaftlich vertretbaren Maßnahmen so gering wie möglich gehalten wird.</w:t>
      </w:r>
    </w:p>
    <w:p>
      <w:r>
        <w:rPr>
          <w:color w:val="555555"/>
          <w:sz w:val="17"/>
        </w:rPr>
        <w:t xml:space="preserve">Zitiervorschlag: § 12 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