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GEG — Übergangsvorschriften für Energieausweise</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Wird nach dem 1. November 2020 ein Energieausweis gemäß § 80 Absatz 1, 2 oder Absatz 3 für ein Gebäude ausgestellt, auf das vor dem Inkrafttreten dieses Gesetzes geltende Rechtsvorschriften anzuwenden sind, ist in der Kopfzeile zumindest der ersten Seite des Energieausweises in geeigneter Form die angewandte Fassung der für den Energieausweis maßgeblichen Rechtsvorschrift anzugeben.</w:t>
      </w:r>
    </w:p>
    <w:p>
      <w:r>
        <w:t xml:space="preserve">(2) Wird nach dem 1. November 2020 ein Energieausweis gemäß § 80 Absatz 3 Satz 1 oder Absatz 6 Satz 1 für ein Gebäude ausgestellt, sind die Vorschriften der Energieeinsparverordnung bis zum 1. Mai 2021 weiter anzuwenden.</w:t>
      </w:r>
    </w:p>
    <w:p>
      <w:r>
        <w:t xml:space="preserve">(3) § 87 ist auf Energieausweise, die nach dem 30. September 2007 und vor dem 1. Mai 2014 ausgestellt worden sind, mit den folgenden Maßgaben anzuwenden. Als Pflichtangabe nach § 87 Absatz 1 Nummer 2 ist in Immobilienanzeigen anzugeben:</w:t>
      </w:r>
    </w:p>
    <w:p>
      <w:pPr>
        <w:ind w:left="420"/>
      </w:pPr>
      <w:r>
        <w:t xml:space="preserve">1. bei Energiebedarfsausweisen für Wohngebäude der Wert des Endenergiebedarfs, der auf Seite 2 des Energieausweises gemäß dem bei Ausstellung maßgeblichen Muster angegeben ist,</w:t>
      </w:r>
    </w:p>
    <w:p>
      <w:pPr>
        <w:ind w:left="420"/>
      </w:pPr>
      <w:r>
        <w:t xml:space="preserve">2. bei Energieverbrauchsausweisen für Wohngebäude der Energieverbrauchskennwert, der auf Seite 3 des Energieausweises gemäß dem bei Ausstellung maßgeblichen Muster angegeben ist; ist im Energieverbrauchskennwert der Energieverbrauch für Warmwasser nicht enthalten, so ist der Energieverbrauchskennwert um eine Pauschale von 20 Kilowattstunden pro Jahr und Quadratmeter Gebäudenutzfläche zu erhöhen,</w:t>
      </w:r>
    </w:p>
    <w:p>
      <w:pPr>
        <w:ind w:left="420"/>
      </w:pPr>
      <w:r>
        <w:t xml:space="preserve">3. bei Energiebedarfsausweisen für Nichtwohngebäude der Gesamtwert des Endenergiebedarfs, der Seite 2 des Energieausweises gemäß dem bei Ausstellung maßgeblichen Muster zu entnehmen ist,</w:t>
      </w:r>
    </w:p>
    <w:p>
      <w:pPr>
        <w:ind w:left="420"/>
      </w:pPr>
      <w:r>
        <w:t xml:space="preserve">4. bei Energieverbrauchsausweisen für Nichtwohngebäude sowohl der Heizenergieverbrauchs- als auch der Stromverbrauchskennwert, die Seite 3 des Energieausweises gemäß dem bei Ausstellung maßgeblichen Muster zu entnehmen sind.</w:t>
      </w:r>
    </w:p>
    <w:p>
      <w:r>
        <w:t xml:space="preserve">Bei Energieausweisen für Wohngebäude nach Satz 1, bei denen noch keine Energieeffizienzklasse angegeben ist, darf diese freiwillig angegeben werden, wobei sich die Klasseneinteilung gemäß § 86 aus dem Endenergieverbrauch oder dem Endenergiebedarf des Gebäudes ergibt.</w:t>
      </w:r>
    </w:p>
    <w:p>
      <w:r>
        <w:t xml:space="preserve">(4) In den Fällen des § 80 Absatz 4 und 5 sind begleitende Modernisierungsempfehlungen zu noch geltenden Energieausweisen, die nach Maßgabe der am 1. Oktober 2007 oder am 1. Oktober 2009 in Kraft getretenen Fassung der Energieeinsparverordnung ausgestellt worden sind, dem potenziellen Käufer oder Mieter zusammen mit dem Energieausweis vorzulegen und dem Käufer oder neuen Mieter mit dem Energieausweis zu übergeben; für die Vorlage und die Übergabe sind im Übrigen die Vorgaben des § 80 Absatz 4 und 5 entsprechend anzuwenden.</w:t>
      </w:r>
    </w:p>
    <w:p>
      <w:r>
        <w:rPr>
          <w:color w:val="555555"/>
          <w:sz w:val="17"/>
        </w:rPr>
        <w:t xml:space="preserve">Zitiervorschlag: § 112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