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GEG — Mindestwärmeschutz</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Bei einem zu errichtenden Gebäude sind Bauteile, die gegen die Außenluft, das Erdreich oder gegen Gebäudeteile mit wesentlich niedrigeren Innentemperaturen abgrenzen, so auszuführen, dass die Anforderungen des Mindestwärmeschutzes nach DIN 4108-2: 2013-02 und DIN 4108-3: 2018-10 erfüllt werden.</w:t>
      </w:r>
    </w:p>
    <w:p>
      <w:r>
        <w:t xml:space="preserve">(2) Ist bei einem zu errichtenden Gebäude bei aneinandergereihter Bebauung die Nachbarbebauung nicht gesichert, müssen die Gebäudetrennwände den Anforderungen an den Mindestwärmeschutz nach Absatz 1 genügen.</w:t>
      </w:r>
    </w:p>
    <w:p>
      <w:r>
        <w:rPr>
          <w:color w:val="555555"/>
          <w:sz w:val="17"/>
        </w:rPr>
        <w:t xml:space="preserve">Zitiervorschlag: § 11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