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106 GEG — Gemischt genutzte Gebäude</w:t>
      </w:r>
    </w:p>
    <w:p>
      <w:r>
        <w:rPr>
          <w:color w:val="555555"/>
          <w:sz w:val="18"/>
        </w:rPr>
        <w:t xml:space="preserve">Gebäudemodernisierungsgesetz</w:t>
      </w:r>
    </w:p>
    <w:p>
      <w:r>
        <w:rPr>
          <w:color w:val="555555"/>
          <w:sz w:val="18"/>
        </w:rPr>
        <w:t xml:space="preserve">Stand: 06.11.2020 (konsolidierte Textfassung, kein amtliches Inkrafttretensdatum)</w:t>
      </w:r>
    </w:p>
    <w:p>
      <w:r>
        <w:t xml:space="preserve">(1) Teile eines Wohngebäudes, die sich hinsichtlich der Art ihrer Nutzung und der gebäudetechnischen Ausstattung wesentlich von der Wohnnutzung unterscheiden und die einen nicht unerheblichen Teil der Gebäudenutzfläche umfassen, sind getrennt als Nichtwohngebäude zu behandeln.</w:t>
      </w:r>
    </w:p>
    <w:p>
      <w:r>
        <w:t xml:space="preserve">(2) Teile eines Nichtwohngebäudes, die dem Wohnen dienen und einen nicht unerheblichen Teil der Nettogrundfläche umfassen, sind getrennt als Wohngebäude zu behandeln.</w:t>
      </w:r>
    </w:p>
    <w:p>
      <w:r>
        <w:t xml:space="preserve">(3) Die Berechnung von Trennwänden und Trenndecken zwischen Gebäudeteilen richtet sich in den Fällen der Absätze 1 und 2 nach § 29 Absatz 1.</w:t>
      </w:r>
    </w:p>
    <w:p>
      <w:r>
        <w:rPr>
          <w:color w:val="555555"/>
          <w:sz w:val="17"/>
        </w:rPr>
        <w:t xml:space="preserve">Zitiervorschlag: § 106 GEG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https://recht.nulegal.eu/gesetze/GEG/106</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