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GEG — Innovationsklausel</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Bis zum 31. Dezember 2030 können die nach Landesrecht zuständigen Behörden auf Antrag nach § 102 Absatz 1 Satz 1 Nummer 1</w:t>
      </w:r>
    </w:p>
    <w:p>
      <w:pPr>
        <w:ind w:left="420"/>
      </w:pPr>
      <w:r>
        <w:t xml:space="preserve">1. von den Anforderungen des § 10 Absatz 2 befreien, wenn</w:t>
      </w:r>
    </w:p>
    <w:p>
      <w:pPr>
        <w:ind w:left="780"/>
      </w:pPr>
      <w:r>
        <w:t xml:space="preserve">a) ein Wohngebäude so errichtet wird, dass die Treibhausgasemissionen des Gebäudes gleichwertig begrenzt werden und der Höchstwert des Jahres-Endenergiebedarfs für Heizung, Warmwasserbereitung, Lüftung und Kühlung das 0,55fache des auf die Gebäudenutzfläche bezogenen Wertes des Jahres-Endenergiebedarfs eines Referenzgebäudes, das die gleiche Geometrie, Gebäudenutzfläche und Ausrichtung wie das zu errichtende Gebäude aufweist und der technischen Referenzausführung der Anlage 1 entspricht, nicht überschreitet oder</w:t>
      </w:r>
    </w:p>
    <w:p>
      <w:pPr>
        <w:ind w:left="780"/>
      </w:pPr>
      <w:r>
        <w:t xml:space="preserve">b) ein Nichtwohngebäude so errichtet wird, dass die Treibhausgasemissionen des Gebäudes gleichwertig begrenzt werden und der Höchstwert des Jahres-Endenergiebedarfs für Heizung, Warmwasserbereitung, Lüftung, Kühlung und eingebaute Beleuchtung das 0,55fache des auf die Nettogrundfläche bezogenen Wertes des Jahres-Endenergiebedarfs eines Referenzgebäudes, das die gleiche Geometrie, Nettogrundfläche, Ausrichtung und Nutzung, einschließlich der Anordnung der Nutzungseinheiten, wie das zu errichtende Gebäude aufweist und der technischen Referenzausführung der Anlage 2 entspricht, nicht überschreitet oder</w:t>
      </w:r>
    </w:p>
    <w:p>
      <w:pPr>
        <w:ind w:left="420"/>
      </w:pPr>
      <w:r>
        <w:t xml:space="preserve">2. von den Anforderungen des § 38 Absatz 1 in Verbindung mit § 36 befreien, wenn</w:t>
      </w:r>
    </w:p>
    <w:p>
      <w:pPr>
        <w:ind w:left="780"/>
      </w:pPr>
      <w:r>
        <w:t xml:space="preserve">a) ein Wohngebäude so geändert wird, dass die Treibhausgasemissionen des Gebäudes gleichwertig begrenzt werden und der Jahres-Endenergiebedarf für Heizung, Warmwasserbereitung, Lüftung und Kühlung das 1,4fache des auf die Gebäudenutzfläche bezogenen Wertes des Jahres-Endenergiebedarfs eines Referenzgebäudes, das die gleiche Geometrie, Gebäudenutzfläche und Ausrichtung wie das geänderte Gebäude aufweist und der technischen Referenzausführung der Anlage 1 entspricht, nicht überschreitet oder</w:t>
      </w:r>
    </w:p>
    <w:p>
      <w:pPr>
        <w:ind w:left="780"/>
      </w:pPr>
      <w:r>
        <w:t xml:space="preserve">b) ein Nichtwohngebäude so geändert wird, dass die Treibhausgasemissionen des Gebäudes gleichwertig begrenzt werden und der Jahres-Endenergiebedarf für Heizung, Warmwasserbereitung, Lüftung, Kühlung und eingebaute Beleuchtung das 1,4fache des auf die Nettogrundfläche bezogenen Wertes des Jahres-Endenergiebedarfs eines Referenzgebäudes, das die gleiche Geometrie, Nettogrundfläche, Ausrichtung und Nutzung, einschließlich der Anordnung der Nutzungseinheiten, wie das geänderte Gebäude aufweist und der technischen Referenzausführung der Anlage 2 entspricht, nicht überschreitet.</w:t>
      </w:r>
    </w:p>
    <w:p>
      <w:r>
        <w:t xml:space="preserve">Die technische Referenzausführung in den Nummern 1.13 bis 9 der Anlage 2 ist nur insoweit zu berücksichtigen, wie eines der dort genannten Systeme in dem zu errichtenden Gebäude ausgeführt wird oder in dem geänderten Gebäude ausgeführt ist. In den Fällen des Satzes 1 Nummer 1 darf der spezifische, auf die wärmeübertragende Umfassungsfläche bezogene Transmissionswärmeverlust eines zu errichtenden Wohngebäudes das 1,2fache des entsprechenden Wertes eines Referenzgebäudes nach der Anlage 1 und ein zu errichtendes Nichtwohngebäude das 1,25fache der Höchstwerte der mittleren Wärmedurchgangskoeffizienten der wärmeübertragenden Umfassungsfläche nach der Anlage 3 nicht überschreiten.</w:t>
      </w:r>
    </w:p>
    <w:p>
      <w:r>
        <w:t xml:space="preserve">(2) Der Antragsteller hat der nach Landesrecht zuständigen Behörde spätestens ein Jahr nach Abschluss der Maßnahme nach Absatz 1 einen Bericht mit den wesentlichen Erfahrungen bei der Anwendung der Regelung, insbesondere über Investitionskosten, Energieverbräuche und, soweit synthetisch erzeugte Energieträger in flüssiger oder gasförmiger Form genutzt werden, über die Herkunft, die Erzeugung und die Kosten dieser Energieträger sowie die Bestimmung der Treibhausgasemissionen, vorzulegen. Die Länder können der Bundesregierung Daten der Berichte nach Satz 1 zum Zwecke der Auswertung zur Verfügung stellen.</w:t>
      </w:r>
    </w:p>
    <w:p>
      <w:r>
        <w:t xml:space="preserve">(3) Bis zum 31. Dezember 2030 können Bauherren oder Eigentümer bei Änderung ihrer Gebäude, die in räumlichem Zusammenhang stehen, eine Vereinbarung über die gemeinsame Erfüllung der Anforderungen nach § 38 Absatz 1 in Verbindung mit § 36 treffen, wenn sichergestellt ist, dass die von der Vereinbarung erfassten geänderten Gebäude in ihrer Gesamtheit die Anforderungen nach § 38 Absatz 1 erfüllen. Jedes geänderte Gebäude, das von der Vereinbarung erfasst wird, muss eine Mindestqualität der Anforderungen an die wärmeübertragende Umfassungsfläche einhalten. Die Mindestqualität nach Satz 2 gilt als erfüllt, wenn die Wärmedurchgangskoeffizienten der geänderten Außenbauteile jedes einzelnen Gebäudes die Höchstwerte der Wärmedurchgangskoeffizienten nach § 36 in Verbindung mit Anlage 7 um nicht mehr als 40 Prozent überschreiten.</w:t>
      </w:r>
    </w:p>
    <w:p>
      <w:r>
        <w:t xml:space="preserve">(4) Einer Vereinbarung nach Absatz 3 muss eine einheitliche Planung zugrunde liegen, die eine Realisierung der Maßnahmen an allen von der Vereinbarung erfassten Gebäuden in einem zeitlichen Zusammenhang von nicht mehr als drei Jahren vorsieht. Der zuständigen Behörde ist die Vereinbarung anzuzeigen. § 107 Absatz 4 bis 6 ist entsprechend anzuwenden.</w:t>
      </w:r>
    </w:p>
    <w:p>
      <w:r>
        <w:rPr>
          <w:color w:val="555555"/>
          <w:sz w:val="17"/>
        </w:rPr>
        <w:t xml:space="preserve">Zitiervorschlag: § 103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