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GEG — Befreiungen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Die nach Landesrecht zuständigen Behörden haben auf Antrag des Eigentümers oder Bauherren von den Anforderungen dieses Gesetzes zu befreien, soweit</w:t>
      </w:r>
    </w:p>
    <w:p>
      <w:pPr>
        <w:ind w:left="420"/>
      </w:pPr>
      <w:r>
        <w:t xml:space="preserve">1. die Ziele dieses Gesetzes durch andere als in diesem Gesetz vorgesehene Maßnahmen im gleichen Umfang erreicht werden oder</w:t>
      </w:r>
    </w:p>
    <w:p>
      <w:pPr>
        <w:ind w:left="420"/>
      </w:pPr>
      <w:r>
        <w:t xml:space="preserve">2. die Anforderungen im Einzelfall wegen besonderer Umstände durch einen unangemessenen Aufwand oder in sonstiger Weise zu einer unbilligen Härte führen.</w:t>
      </w:r>
    </w:p>
    <w:p>
      <w:r>
        <w:t xml:space="preserve">Eine unbillige Härte liegt insbesondere vor, wenn die erforderlichen Aufwendungen innerhalb der üblichen Nutzungsdauer, bei Anforderungen an bestehende Gebäude innerhalb angemessener Frist durch die eintretenden Einsparungen nicht erwirtschaftet werden können, das heißt, wenn die notwendigen Investitionen nicht in einem angemessenen Verhältnis zum Ertrag stehen. Eine unbillige Härte liegt auch vor, wenn die notwendigen Investitionen nicht in einem angemessenen Verhältnis zum Wert des Gebäudes stehen. Hierbei sind unter Berücksichtigung des Ziels dieses Gesetzes die zur Erreichung dieses Ziels erwartbaren Preisentwicklungen für Energie einschließlich der Preise für Treibhausgase nach dem europäischen und dem nationalen Emissionshandel zu berücksichtigen. Eine unbillige Härte liegt auch vor, wenn aufgrund besonderer persönlicher Umstände die Erfüllung der Anforderungen des Gesetzes nicht zumutbar ist.</w:t>
      </w:r>
    </w:p>
    <w:p>
      <w:r>
        <w:t xml:space="preserve">(2) Absatz 1 ist auf die Vorschriften von Teil 5 nicht anzuwenden.</w:t>
      </w:r>
    </w:p>
    <w:p>
      <w:r>
        <w:t xml:space="preserve">(3) Die Erfüllung der Voraussetzungen nach Absatz 1 Satz 1 Nummer 1 hat der Eigentümer oder der Bauherr darzulegen und nachzuweisen. Die nach Landesrecht zuständige Behörde kann auf Kosten des Eigentümers oder Bauherrn die Vorlage einer Beurteilung der Erfüllung der Voraussetzungen nach Absatz 1 Satz 1 Nummer 1 durch qualifizierte Sachverständige verlangen.</w:t>
      </w:r>
    </w:p>
    <w:p>
      <w:r>
        <w:t xml:space="preserve">(4) Bis zum 31. Dezember 2030 können die nach Landesrecht zuständigen Behörden auf Antrag im Einzelfall oder für genau begrenzte Fälle allgemein die zulässige Nutzungsdauer von Gebäuden im Sinne des § 2 Absatz 2 Nummer 6 und des § 104 Satz 2 um weitere zwei Jahre verlängern, wenn ansonsten die Unterbringung von Geflüchteten durch die öffentliche Hand oder im öffentlichen Auftrag erheblich verzögert würde.</w:t>
      </w:r>
    </w:p>
    <w:p>
      <w:r>
        <w:t xml:space="preserve">(5) (weggefallen)</w:t>
      </w:r>
    </w:p>
    <w:p>
      <w:r>
        <w:rPr>
          <w:color w:val="555555"/>
          <w:sz w:val="17"/>
        </w:rPr>
        <w:t xml:space="preserve">Zitiervorschlag: § 102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