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GEG — Zweck und Ziel</w:t>
      </w:r>
    </w:p>
    <w:p>
      <w:r>
        <w:rPr>
          <w:color w:val="555555"/>
          <w:sz w:val="18"/>
        </w:rPr>
        <w:t xml:space="preserve">Gebäudemodernisierungsgesetz</w:t>
      </w:r>
    </w:p>
    <w:p>
      <w:r>
        <w:rPr>
          <w:color w:val="555555"/>
          <w:sz w:val="18"/>
        </w:rPr>
        <w:t xml:space="preserve">Stand: 01.01.2024 (konsolidierte Textfassung, kein amtliches Inkrafttretensdatum)</w:t>
      </w:r>
    </w:p>
    <w:p>
      <w:r>
        <w:t xml:space="preserve">(1) Ziel dieses Gesetzes ist es, einen wesentlichen Beitrag zur Erreichung der nationalen Klimaschutzziele zu leisten. Dies soll durch wirtschaftliche, sozialverträgliche und effizienzsteigernde Maßnahmen zur Einsparung von Treibhausgasemissionen sowie der zunehmenden Nutzung von erneuerbaren Energien oder unvermeidbarer Abwärme für die Energieversorgung von Gebäuden erreicht werden.</w:t>
      </w:r>
    </w:p>
    <w:p>
      <w:r>
        <w:t xml:space="preserve">(2) Unter Beachtung des Grundsatzes der Wirtschaftlichkeit soll das Gesetz im Interesse des Klimaschutzes, der stetigen Reduktion von fossilen Ressourcen und der Minderung der Abhängigkeit von Energieimporten dazu beitragen, die energie- und klimapolitischen Ziele der Bundesregierung sowie eine weitere Erhöhung des Anteils erneuerbarer Energien am Endenergieverbrauch für Wärme und Kälte zu erreichen und eine nachhaltige Entwicklung der Energieversorgung zu ermöglichen.</w:t>
      </w:r>
    </w:p>
    <w:p>
      <w:r>
        <w:t xml:space="preserve">(3) Die Errichtung und der Betrieb einer Anlage sowie der dazugehörigen Nebenanlagen zur Erzeugung sowie zum Transport von Wärme, Kälte und Strom aus erneuerbaren Energien sowie Effizienzmaßnahmen in Gebäuden liegen im überragenden öffentlichen Interesse und dienen der öffentlichen Sicherheit. Bis der Gebäudebetrieb im Bundesgebiet treibhausgasneutral ist, sollen die erneuerbaren Energien sowie Effizienzmaßnahmen als vorrangige Belange in die jeweils durchzuführenden Schutzgüterabwägungen eingebracht werden. Satz 2 ist nicht gegenüber Belangen der Landes- und Bündnisverteidigung anzuwenden.</w:t>
      </w:r>
    </w:p>
    <w:p>
      <w:r>
        <w:rPr>
          <w:color w:val="555555"/>
          <w:sz w:val="17"/>
        </w:rPr>
        <w:t xml:space="preserve">Zitiervorschlag: § 1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