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GEEV 2017 — Festlegungen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darf im Rahmen dieser Verordnung Festlegungen nach § 88a Absatz 3 Nummer 1 des Erneuerbare-Energien-Gesetzes in Abstimmung mit dem Kooperationsstaat treffen:</w:t>
      </w:r>
    </w:p>
    <w:p>
      <w:pPr>
        <w:ind w:left="420"/>
      </w:pPr>
      <w:r>
        <w:t xml:space="preserve">1. abweichend von § 6 zu Anforderungen an die Gebote und Bieter, um die Ernsthaftigkeit und Verbindlichkeit der Gebote zu gewährleisten,</w:t>
      </w:r>
    </w:p>
    <w:p>
      <w:pPr>
        <w:ind w:left="420"/>
      </w:pPr>
      <w:r>
        <w:t xml:space="preserve">2. zur Form der Sicherheiten nach § 8, insbesondere zusätzliche Anforderungen an die Bürgschaften, die als Sicherheitsleistung erbracht werden können,</w:t>
      </w:r>
    </w:p>
    <w:p>
      <w:pPr>
        <w:ind w:left="420"/>
      </w:pPr>
      <w:r>
        <w:t xml:space="preserve">3. zu Auflagen, die die ausschreibende Stelle mit der Ausstellung der Zahlungsberechtigung verbinden darf und die sicherstellen sollen, dass die zahlungsberechtigte Anlage innerhalb der Zahlungsdauer nach § 21 oder § 26 eine angemessene Strommenge erzeugt,</w:t>
      </w:r>
    </w:p>
    <w:p>
      <w:pPr>
        <w:ind w:left="420"/>
      </w:pPr>
      <w:r>
        <w:t xml:space="preserve">4. zu den Anforderungen an die Überprüfung nach § 28 und an die Datenübermittlung nach § 38 Absatz 4.</w:t>
      </w:r>
    </w:p>
    <w:p>
      <w:r>
        <w:rPr>
          <w:color w:val="555555"/>
          <w:sz w:val="17"/>
        </w:rPr>
        <w:t xml:space="preserve">Zitiervorschlag: § 36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