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GEEV 2017 — Mitteilungspflichten</w:t>
      </w:r>
    </w:p>
    <w:p>
      <w:r>
        <w:rPr>
          <w:color w:val="555555"/>
          <w:sz w:val="18"/>
        </w:rPr>
        <w:t xml:space="preserve">Grenzüberschreitende-Erneuerbare-Energien-Verordnung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ausschreibende Stelle muss unverzüglich nach Abschluss des Zuschlagsverfahrens nach § 12 den Bietern die Gründe für den Ausschluss oder die Nichtbezuschlagung mitteilen, wenn</w:t>
      </w:r>
    </w:p>
    <w:p>
      <w:pPr>
        <w:ind w:left="420"/>
      </w:pPr>
      <w:r>
        <w:t xml:space="preserve">1. die Gebote nach § 10 von der Ausschreibung ausgeschlossen worden sind,</w:t>
      </w:r>
    </w:p>
    <w:p>
      <w:pPr>
        <w:ind w:left="420"/>
      </w:pPr>
      <w:r>
        <w:t xml:space="preserve">2. die Bieter von der Ausschreibung nach § 11 ausgeschlossen worden sind oder</w:t>
      </w:r>
    </w:p>
    <w:p>
      <w:pPr>
        <w:ind w:left="420"/>
      </w:pPr>
      <w:r>
        <w:t xml:space="preserve">3. die Bieter keinen Zuschlag nach § 12 erhalten haben.</w:t>
      </w:r>
    </w:p>
    <w:p>
      <w:r>
        <w:t xml:space="preserve">(2) Die ausschreibende Stelle muss den jeweils regelverantwortlichen oder nach § 27 Absatz 4 zur Zahlung verpflichteten Übertragungsnetzbetreibern unverzüglich folgende für die Geltendmachung der Pönale erforderlichen Angaben mitteilen:</w:t>
      </w:r>
    </w:p>
    <w:p>
      <w:pPr>
        <w:ind w:left="420"/>
      </w:pPr>
      <w:r>
        <w:t xml:space="preserve">1. die nach § 12 Absatz 3 registrierten Angaben des Gebots,</w:t>
      </w:r>
    </w:p>
    <w:p>
      <w:pPr>
        <w:ind w:left="420"/>
      </w:pPr>
      <w:r>
        <w:t xml:space="preserve">2. den Zeitpunkt der Bekanntgabe der Zuschläge und Zuschlagswerte für das Gebot,</w:t>
      </w:r>
    </w:p>
    <w:p>
      <w:pPr>
        <w:ind w:left="420"/>
      </w:pPr>
      <w:r>
        <w:t xml:space="preserve">3. den Zeitpunkt und die Höhe der vom Bieter für das Gebot geleisteten Sicherheit,</w:t>
      </w:r>
    </w:p>
    <w:p>
      <w:pPr>
        <w:ind w:left="420"/>
      </w:pPr>
      <w:r>
        <w:t xml:space="preserve">4. das Erlöschen des Zuschlags,</w:t>
      </w:r>
    </w:p>
    <w:p>
      <w:pPr>
        <w:ind w:left="420"/>
      </w:pPr>
      <w:r>
        <w:t xml:space="preserve">5. die Rücknahme oder den Widerruf des Zuschlags und</w:t>
      </w:r>
    </w:p>
    <w:p>
      <w:pPr>
        <w:ind w:left="420"/>
      </w:pPr>
      <w:r>
        <w:t xml:space="preserve">6. die Rücknahme oder den Widerruf einer Zahlungsberechtigung.</w:t>
      </w:r>
    </w:p>
    <w:p>
      <w:r>
        <w:rPr>
          <w:color w:val="555555"/>
          <w:sz w:val="17"/>
        </w:rPr>
        <w:t xml:space="preserve">Zitiervorschlag: § 34 GEEV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https://recht.nulegal.eu/gesetze/GEEV%202017/34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