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GEEV 2017 — Pönalen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Geboten für Windenergieanlagen an Land müssen Bieter eine Pönale leisten,</w:t>
      </w:r>
    </w:p>
    <w:p>
      <w:pPr>
        <w:ind w:left="420"/>
      </w:pPr>
      <w:r>
        <w:t xml:space="preserve">1. soweit mehr als 5 Prozent der Gebotsmenge eines bezuschlagten Gebots für eine Windenergieanlage an Land nach § 15 entwertet werden oder</w:t>
      </w:r>
    </w:p>
    <w:p>
      <w:pPr>
        <w:ind w:left="420"/>
      </w:pPr>
      <w:r>
        <w:t xml:space="preserve">2. wenn die Windenergieanlage an Land mehr als 24 Monate nach der öffentlichen Bekanntgabe des Zuschlags in Betrieb genommen worden ist.</w:t>
      </w:r>
    </w:p>
    <w:p>
      <w:r>
        <w:t xml:space="preserve">(2) Die Höhe der Pönale für Zuschläge für Windenergieanlagen an Land berechnet sich nach § 55 Absatz 1 Satz 2 des Erneuerbare-Energien-Gesetzes.</w:t>
      </w:r>
    </w:p>
    <w:p>
      <w:r>
        <w:t xml:space="preserve">(3) Sofern nach § 19 für Bürgerenergiegesellschaften bei der Ausschreibung für Windenergieanlagen an Land besondere Ausschreibungsbedingungen in der völkerrechtlichen Vereinbarung festgelegt worden sind, sind die Regelungen in § 55 Absatz 2 des Erneuerbare-Energien-Gesetzes entsprechend anzuwenden.</w:t>
      </w:r>
    </w:p>
    <w:p>
      <w:r>
        <w:t xml:space="preserve">(4) Bei Geboten für Solaranlagen müssen Bieter eine Pönale leisten, soweit mehr als 5 Prozent der Gebotsmenge eines bezuschlagten Gebots für eine Solaranlage nach § 15 entwertet werden.</w:t>
      </w:r>
    </w:p>
    <w:p>
      <w:r>
        <w:t xml:space="preserve">(5) Die Höhe der Pönale nach Absatz 4 berechnet sich aus der entwerteten Gebotsmenge multipliziert mit 70 Euro pro Kilowatt.</w:t>
      </w:r>
    </w:p>
    <w:p>
      <w:r>
        <w:t xml:space="preserve">(6) Die Pönalen nach den Absätzen 1 bis 5 sind zu leisten</w:t>
      </w:r>
    </w:p>
    <w:p>
      <w:pPr>
        <w:ind w:left="420"/>
      </w:pPr>
      <w:r>
        <w:t xml:space="preserve">1. an den regelverantwortlichen Übertragungsnetzbetreiber oder den nach § 27 Absatz 4 zur Zahlung verpflichteten Übertragungsnetzbetreiber, wenn die bezuschlagten Gebote bei einer gemeinsamen grenzüberschreitenden Ausschreibung nach § 13 Absatz 1 Satz 1 der Bundesrepublik Deutschland zugeordnet oder bei einer geöffneten nationalen Ausschreibung bezuschlagt worden sind, oder</w:t>
      </w:r>
    </w:p>
    <w:p>
      <w:pPr>
        <w:ind w:left="420"/>
      </w:pPr>
      <w:r>
        <w:t xml:space="preserve">2. an die ausländische Stelle, wenn die bezuschlagten Gebote bei einer gemeinsamen grenzüberschreitenden Ausschreibung nach § 13 Absatz 1 dem Kooperationsstaat zugeordnet worden sind.</w:t>
      </w:r>
    </w:p>
    <w:p>
      <w:r>
        <w:t xml:space="preserve">(7) Die Forderung muss im Fall des Absatzes 6 Nummer 1 durch Überweisung eines entsprechenden Geldbetrags auf ein Geldkonto des regelverantwortlichen Übertragungsnetzbetreibers oder des nach § 27 Absatz 4 zur Zahlung verpflichteten Übertragungsnetzbetreibers erfüllt werden; dabei ist die Zuschlagsnummer des Gebots zu übermitteln, für das die Pönale geleistet wird. Der Übertragungsnetzbetreiber darf sich hinsichtlich dieser Forderung aus der Sicherheit nach § 8 befriedigen, wenn der Bieter die Forderung nicht vor Ablauf des zweiten Kalendermonats erfüllt hat, der auf den Ablauf der Frist zur Beantragung der Zahlungsberechtigung nach § 22 Absatz 3 Satz 1 oder die Rückgabe oder bestandskräftige Rücknahme der Gebotsmenge eines bezuschlagten Gebots folgt. Die Erfüllung der Forderung richtet sich im Fall des Absatzes 6 Nummer 2 nach den Bestimmungen des Kooperationsstaates; diese sind auch für die Bestimmungen zur Befriedigung aus der Sicherheit nach § 8 anzuwenden.</w:t>
      </w:r>
    </w:p>
    <w:p>
      <w:r>
        <w:t xml:space="preserve">(8) Die ausschreibende Stelle teilt dem Übertragungsnetzbetreiber oder der ausländischen Stelle unverzüglich folgende für die Inanspruchnahme der Pönalen erforderliche Angaben mit:</w:t>
      </w:r>
    </w:p>
    <w:p>
      <w:pPr>
        <w:ind w:left="420"/>
      </w:pPr>
      <w:r>
        <w:t xml:space="preserve">1. die nach § 12 Absatz 3 registrierten Angaben des Gebots,</w:t>
      </w:r>
    </w:p>
    <w:p>
      <w:pPr>
        <w:ind w:left="420"/>
      </w:pPr>
      <w:r>
        <w:t xml:space="preserve">2. den Zeitpunkt der Bekanntgabe der Zuschläge und Zuschlagswerte für das Gebot,</w:t>
      </w:r>
    </w:p>
    <w:p>
      <w:pPr>
        <w:ind w:left="420"/>
      </w:pPr>
      <w:r>
        <w:t xml:space="preserve">3. die Höhe der vom Bieter für das Gebot geleisteten Sicherheit,</w:t>
      </w:r>
    </w:p>
    <w:p>
      <w:pPr>
        <w:ind w:left="420"/>
      </w:pPr>
      <w:r>
        <w:t xml:space="preserve">4. die Rückgabe von Zuschlägen für das Gebot,</w:t>
      </w:r>
    </w:p>
    <w:p>
      <w:pPr>
        <w:ind w:left="420"/>
      </w:pPr>
      <w:r>
        <w:t xml:space="preserve">5. das Erlöschen des Zuschlags,</w:t>
      </w:r>
    </w:p>
    <w:p>
      <w:pPr>
        <w:ind w:left="420"/>
      </w:pPr>
      <w:r>
        <w:t xml:space="preserve">6. die Rücknahme und den Widerruf des Zuschlags und</w:t>
      </w:r>
    </w:p>
    <w:p>
      <w:pPr>
        <w:ind w:left="420"/>
      </w:pPr>
      <w:r>
        <w:t xml:space="preserve">7. die Rücknahme und den Widerruf einer Zahlungsberechtigung, sofern der Solaranlage Gebotsmengen zugeteilt worden sind und der im Gebot angegebene Standort der Solaranlage in der jeweiligen Regelzone des Übertragungsnetzbetreibers liegt.</w:t>
      </w:r>
    </w:p>
    <w:p>
      <w:r>
        <w:rPr>
          <w:color w:val="555555"/>
          <w:sz w:val="17"/>
        </w:rPr>
        <w:t xml:space="preserve">Zitiervorschlag: § 30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