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GEEV 2017 — Änderungen und Erlöschen von Zuschlägen für Windenergieanlagen an Land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Für Änderungen der Genehmigungen für Anlagen im Bundesgebiet nach der Erteilung der Zuschläge ist § 36f des Erneuerbare-Energien-Gesetzes anzuwenden.</w:t>
      </w:r>
    </w:p>
    <w:p>
      <w:r>
        <w:t xml:space="preserve">(2) Der Zuschlag erlischt nach der in § 36e Absatz 1 des Erneuerbare-Energien-Gesetzes festgelegten Frist. Für Windenergieanlagen an Land im Bundesgebiet kann auf Antrag bei der ausschreibenden Stelle die Frist unter den in § 36e Absatz 2 und 3 des Erneuerbare-Energien-Gesetzes genannten Voraussetzungen verlängert werden. Für Windenergieanlagen an Land außerhalb des Bundesgebiets sollen nach § 39 in der völkerrechtlichen Vereinbarung entsprechende Regelungen vorgesehen werden.</w:t>
      </w:r>
    </w:p>
    <w:p>
      <w:r>
        <w:rPr>
          <w:color w:val="555555"/>
          <w:sz w:val="17"/>
        </w:rPr>
        <w:t xml:space="preserve">Zitiervorschlag: § 18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