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GDozPO (Bayern)</w:t>
      </w:r>
    </w:p>
    <w:p>
      <w:r>
        <w:rPr>
          <w:color w:val="555555"/>
          <w:sz w:val="18"/>
        </w:rPr>
        <w:t xml:space="preserve">Gebärdensprachdozenten-Prüfungsordnung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Art. 11 Abs. 3 des Bayerischen Gesetzes zur Gleichstellung, Integration und Teilhabe von Menschen mit Behinderung (Bayerisches Behindertengleichstellungsgesetz – BayBGG) vom 9. Juli 2003 (GVBl S. 419, BayRS 805-9-A) erlässt die Bayerische Staatsregierung folgende Verordnung:</w:t>
      </w:r>
    </w:p>
    <w:p>
      <w:r>
        <w:rPr>
          <w:color w:val="555555"/>
          <w:sz w:val="17"/>
        </w:rPr>
        <w:t xml:space="preserve">Zitiervorschlag: Eingangsformel GDozPO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https://recht.nulegal.eu/gesetze/GDozPO/eingangsformel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