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GDozPO (Bayern) — Besondere Prüfungsanforderungen</w:t>
      </w:r>
    </w:p>
    <w:p>
      <w:r>
        <w:rPr>
          <w:color w:val="555555"/>
          <w:sz w:val="18"/>
        </w:rPr>
        <w:t xml:space="preserve">Gebärdensprachdozenten-Prüfungsordnung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Prüfung werden im Einzelnen verlangt:</w:t>
      </w:r>
    </w:p>
    <w:p>
      <w:r>
        <w:t xml:space="preserve">1. sichere Beherrschung der Gebärdensprache in Grammatik, Wortschatz und Stil,</w:t>
      </w:r>
    </w:p>
    <w:p>
      <w:r>
        <w:t xml:space="preserve">2. didaktisch-methodische Kompetenzen,</w:t>
      </w:r>
    </w:p>
    <w:p>
      <w:r>
        <w:t xml:space="preserve">3. Kenntnisse der Gehörlosenkultur, der Soziologie und Geschichte Gehörloser,</w:t>
      </w:r>
    </w:p>
    <w:p>
      <w:r>
        <w:t xml:space="preserve">4. Kenntnisse zu Geschichte und linguistischen Aspekten der Gebärdensprache,</w:t>
      </w:r>
    </w:p>
    <w:p>
      <w:r>
        <w:t xml:space="preserve">5. Kenntnisse in Psychologie,</w:t>
      </w:r>
    </w:p>
    <w:p>
      <w:r>
        <w:t xml:space="preserve">6. gute schriftsprachliche Fähigkeiten,</w:t>
      </w:r>
    </w:p>
    <w:p>
      <w:r>
        <w:t xml:space="preserve">7. gewandtes sicheres Auftreten,</w:t>
      </w:r>
    </w:p>
    <w:p>
      <w:r>
        <w:t xml:space="preserve">(2) Die Prüfung gliedert sich in einen theoretischen Teil (§ 12), einen praktischen Teil (§ 13) und in ein Kolloquium (§ 14).</w:t>
      </w:r>
    </w:p>
    <w:p>
      <w:r>
        <w:t xml:space="preserve">(3) Bei der Bearbeitung der Prüfungsaufgaben dürfen Hilfsmittel nicht verwendet werden, es sei denn, solche wurden ausdrücklich zugelassen.</w:t>
      </w:r>
    </w:p>
    <w:p>
      <w:r>
        <w:rPr>
          <w:color w:val="555555"/>
          <w:sz w:val="17"/>
        </w:rPr>
        <w:t xml:space="preserve">Zitiervorschlag: § 11 GDozPO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https://recht.nulegal.eu/gesetze/GDozPO/11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