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GDolmG — Verlust und Rückgabe der Beeidigungsurkunde</w:t>
      </w:r>
    </w:p>
    <w:p>
      <w:r>
        <w:rPr>
          <w:color w:val="555555"/>
          <w:sz w:val="18"/>
        </w:rPr>
        <w:t xml:space="preserve">Gerichtsdolmetschergesetz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Der Verlust der Beeidigungsurkunde ist dem Aussteller und der nach § 2 zuständigen Stelle unverzüglich mitzuteilen.</w:t>
      </w:r>
    </w:p>
    <w:p>
      <w:r>
        <w:t xml:space="preserve">(2) Die Beeidigungsurkunde ist an den Aussteller zurückzugeben, wenn die Beeidigung</w:t>
      </w:r>
    </w:p>
    <w:p>
      <w:pPr>
        <w:ind w:left="420"/>
      </w:pPr>
      <w:r>
        <w:t xml:space="preserve">1. durch Zeitablauf geendet hat (§ 7 Absatz 1 Satz 1),</w:t>
      </w:r>
    </w:p>
    <w:p>
      <w:pPr>
        <w:ind w:left="420"/>
      </w:pPr>
      <w:r>
        <w:t xml:space="preserve">2. unwirksam geworden ist (§ 7 Absatz 2),</w:t>
      </w:r>
    </w:p>
    <w:p>
      <w:pPr>
        <w:ind w:left="420"/>
      </w:pPr>
      <w:r>
        <w:t xml:space="preserve">3. unanfechtbar oder vollziehbar zurückgenommen wurde,</w:t>
      </w:r>
    </w:p>
    <w:p>
      <w:pPr>
        <w:ind w:left="420"/>
      </w:pPr>
      <w:r>
        <w:t xml:space="preserve">4. unanfechtbar oder vollziehbar widerrufen wurde oder</w:t>
      </w:r>
    </w:p>
    <w:p>
      <w:pPr>
        <w:ind w:left="420"/>
      </w:pPr>
      <w:r>
        <w:t xml:space="preserve">5. aus einem anderen Grund nicht oder nicht mehr wirksam ist.</w:t>
      </w:r>
    </w:p>
    <w:p>
      <w:r>
        <w:rPr>
          <w:color w:val="555555"/>
          <w:sz w:val="17"/>
        </w:rPr>
        <w:t xml:space="preserve">Zitiervorschlag: § 8 GDolmG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https://recht.nulegal.eu/gesetze/GDolmG/8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